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B1DFA" w14:textId="77777777" w:rsidR="00DE2CFD" w:rsidRPr="00013C52" w:rsidRDefault="00F677F5" w:rsidP="00C4273E">
      <w:pPr>
        <w:widowControl/>
        <w:tabs>
          <w:tab w:val="left" w:pos="360"/>
          <w:tab w:val="left" w:pos="1080"/>
        </w:tabs>
        <w:spacing w:after="200"/>
        <w:jc w:val="center"/>
        <w:rPr>
          <w:rFonts w:ascii="Arial" w:eastAsiaTheme="minorHAnsi" w:hAnsi="Arial" w:cs="Arial"/>
          <w:b/>
          <w:sz w:val="24"/>
          <w:szCs w:val="24"/>
        </w:rPr>
      </w:pPr>
      <w:r w:rsidRPr="00013C52">
        <w:rPr>
          <w:rFonts w:ascii="Arial" w:eastAsiaTheme="minorHAnsi" w:hAnsi="Arial" w:cs="Arial"/>
          <w:b/>
          <w:sz w:val="24"/>
          <w:szCs w:val="24"/>
        </w:rPr>
        <w:t>APPENDIX ___</w:t>
      </w:r>
    </w:p>
    <w:p w14:paraId="7A9B1DFB" w14:textId="77777777" w:rsidR="00DE2CFD" w:rsidRPr="00013C52" w:rsidRDefault="00F677F5" w:rsidP="00C4273E">
      <w:pPr>
        <w:widowControl/>
        <w:tabs>
          <w:tab w:val="left" w:pos="360"/>
          <w:tab w:val="left" w:pos="1080"/>
        </w:tabs>
        <w:spacing w:after="200"/>
        <w:jc w:val="center"/>
        <w:rPr>
          <w:rFonts w:ascii="Arial" w:eastAsiaTheme="minorHAnsi" w:hAnsi="Arial" w:cs="Arial"/>
          <w:b/>
          <w:sz w:val="24"/>
          <w:szCs w:val="24"/>
        </w:rPr>
      </w:pPr>
      <w:r w:rsidRPr="00013C52">
        <w:rPr>
          <w:rFonts w:ascii="Arial" w:hAnsi="Arial" w:cs="Arial"/>
          <w:b/>
          <w:sz w:val="24"/>
          <w:szCs w:val="24"/>
        </w:rPr>
        <w:t>PCI COMPLIANCE for THIRD PARTY SERVICE PROVIDER (TPSP)</w:t>
      </w:r>
    </w:p>
    <w:p w14:paraId="7A9B1DFC" w14:textId="69B219BF" w:rsidR="00CC68CB" w:rsidRDefault="00F677F5" w:rsidP="00C4273E">
      <w:pPr>
        <w:jc w:val="both"/>
        <w:rPr>
          <w:rFonts w:ascii="Arial" w:hAnsi="Arial" w:cs="Arial"/>
          <w:sz w:val="24"/>
          <w:szCs w:val="24"/>
        </w:rPr>
      </w:pPr>
      <w:r>
        <w:rPr>
          <w:rFonts w:ascii="Arial" w:hAnsi="Arial" w:cs="Arial"/>
          <w:sz w:val="24"/>
          <w:szCs w:val="24"/>
        </w:rPr>
        <w:t>____________________, (“Vendor”</w:t>
      </w:r>
      <w:r w:rsidR="001A281C">
        <w:rPr>
          <w:rFonts w:ascii="Arial" w:hAnsi="Arial" w:cs="Arial"/>
          <w:sz w:val="24"/>
          <w:szCs w:val="24"/>
        </w:rPr>
        <w:t xml:space="preserve">) agrees to the following with the City of Fairfield (“City”) </w:t>
      </w:r>
      <w:r>
        <w:rPr>
          <w:rFonts w:ascii="Arial" w:hAnsi="Arial" w:cs="Arial"/>
          <w:sz w:val="24"/>
          <w:szCs w:val="24"/>
        </w:rPr>
        <w:t xml:space="preserve"> </w:t>
      </w:r>
    </w:p>
    <w:p w14:paraId="395DD8BA" w14:textId="77777777" w:rsidR="006C5268" w:rsidRDefault="006C5268" w:rsidP="00C4273E">
      <w:pPr>
        <w:jc w:val="both"/>
        <w:rPr>
          <w:rFonts w:ascii="Arial" w:hAnsi="Arial" w:cs="Arial"/>
          <w:sz w:val="24"/>
          <w:szCs w:val="24"/>
        </w:rPr>
      </w:pPr>
    </w:p>
    <w:p w14:paraId="24F5DF19" w14:textId="77777777" w:rsidR="006C5268" w:rsidRPr="00013C52" w:rsidRDefault="006C5268" w:rsidP="00C4273E">
      <w:pPr>
        <w:jc w:val="both"/>
        <w:rPr>
          <w:rFonts w:ascii="Arial" w:hAnsi="Arial" w:cs="Arial"/>
          <w:sz w:val="24"/>
          <w:szCs w:val="24"/>
        </w:rPr>
      </w:pPr>
    </w:p>
    <w:p w14:paraId="65319E70" w14:textId="77777777" w:rsidR="003E7692" w:rsidRPr="00013C52" w:rsidRDefault="00F677F5" w:rsidP="00C4273E">
      <w:pPr>
        <w:widowControl/>
        <w:numPr>
          <w:ilvl w:val="0"/>
          <w:numId w:val="2"/>
        </w:numPr>
        <w:snapToGrid/>
        <w:jc w:val="both"/>
        <w:rPr>
          <w:rFonts w:ascii="Arial" w:hAnsi="Arial" w:cs="Arial"/>
          <w:sz w:val="24"/>
          <w:szCs w:val="24"/>
        </w:rPr>
      </w:pPr>
      <w:r w:rsidRPr="00013C52">
        <w:rPr>
          <w:rFonts w:ascii="Arial" w:hAnsi="Arial" w:cs="Arial"/>
          <w:b/>
          <w:sz w:val="24"/>
          <w:szCs w:val="24"/>
        </w:rPr>
        <w:t xml:space="preserve">Demonstrate PCI Compliance </w:t>
      </w:r>
    </w:p>
    <w:p w14:paraId="50C0B3FF" w14:textId="77777777" w:rsidR="00C4273E" w:rsidRDefault="00C4273E" w:rsidP="00C4273E">
      <w:pPr>
        <w:widowControl/>
        <w:snapToGrid/>
        <w:spacing w:after="200" w:line="276" w:lineRule="auto"/>
        <w:ind w:left="720"/>
        <w:contextualSpacing/>
        <w:jc w:val="both"/>
      </w:pPr>
    </w:p>
    <w:p w14:paraId="2358722A" w14:textId="0EF17C49" w:rsidR="00C15290" w:rsidRPr="00013C52" w:rsidRDefault="00B751D8" w:rsidP="00C4273E">
      <w:pPr>
        <w:widowControl/>
        <w:snapToGrid/>
        <w:spacing w:after="200" w:line="276" w:lineRule="auto"/>
        <w:ind w:left="720"/>
        <w:contextualSpacing/>
        <w:jc w:val="both"/>
        <w:rPr>
          <w:rFonts w:ascii="Arial" w:eastAsia="Calibri" w:hAnsi="Arial" w:cs="Arial"/>
          <w:sz w:val="24"/>
          <w:szCs w:val="24"/>
        </w:rPr>
      </w:pPr>
      <w:hyperlink r:id="rId7" w:history="1">
        <w:r w:rsidR="00F677F5" w:rsidRPr="00013C52">
          <w:rPr>
            <w:rFonts w:ascii="Arial" w:eastAsia="Calibri" w:hAnsi="Arial" w:cs="Arial"/>
            <w:sz w:val="24"/>
            <w:szCs w:val="24"/>
            <w:u w:val="single"/>
          </w:rPr>
          <w:t>PCI</w:t>
        </w:r>
        <w:r w:rsidR="006C5268">
          <w:rPr>
            <w:rFonts w:ascii="Arial" w:eastAsia="Calibri" w:hAnsi="Arial" w:cs="Arial"/>
            <w:sz w:val="24"/>
            <w:szCs w:val="24"/>
            <w:u w:val="single"/>
          </w:rPr>
          <w:t xml:space="preserve"> </w:t>
        </w:r>
        <w:r w:rsidR="00F677F5" w:rsidRPr="00013C52">
          <w:rPr>
            <w:rFonts w:ascii="Arial" w:eastAsia="Calibri" w:hAnsi="Arial" w:cs="Arial"/>
            <w:sz w:val="24"/>
            <w:szCs w:val="24"/>
            <w:u w:val="single"/>
          </w:rPr>
          <w:t>DSS Compliance</w:t>
        </w:r>
      </w:hyperlink>
      <w:r w:rsidR="00F677F5" w:rsidRPr="00013C52">
        <w:rPr>
          <w:rFonts w:ascii="Arial" w:eastAsia="Calibri" w:hAnsi="Arial" w:cs="Arial"/>
          <w:sz w:val="24"/>
          <w:szCs w:val="24"/>
          <w:u w:val="single"/>
        </w:rPr>
        <w:t>.</w:t>
      </w:r>
      <w:r w:rsidR="00F677F5" w:rsidRPr="00013C52">
        <w:rPr>
          <w:rFonts w:ascii="Arial" w:eastAsia="Calibri" w:hAnsi="Arial" w:cs="Arial"/>
          <w:sz w:val="24"/>
          <w:szCs w:val="24"/>
        </w:rPr>
        <w:t> In the event any Vendor engages in payment card transactions as a part of the services provided to the City, Vendor shall comply with the Payment Card Industry Data Security Standards (“PCI DSS”) and any amendments or restatements of the PCI DSS during the Term of this Agreement. Vendor accepts responsibility for the security of the City’s and/or any customer’s credit card data in its possession, even if all or a portion of the services to City are subcontracted to third parties.</w:t>
      </w:r>
    </w:p>
    <w:p w14:paraId="68EE8023" w14:textId="77777777" w:rsidR="00C15290" w:rsidRDefault="00C15290" w:rsidP="00C4273E">
      <w:pPr>
        <w:ind w:left="720"/>
        <w:jc w:val="both"/>
        <w:rPr>
          <w:rFonts w:ascii="Arial" w:hAnsi="Arial" w:cs="Arial"/>
          <w:sz w:val="24"/>
          <w:szCs w:val="24"/>
        </w:rPr>
      </w:pPr>
    </w:p>
    <w:p w14:paraId="202563D5" w14:textId="7EE20721" w:rsidR="00B60837" w:rsidRPr="00B60837" w:rsidRDefault="00F677F5" w:rsidP="00B60837">
      <w:pPr>
        <w:widowControl/>
        <w:snapToGrid/>
        <w:spacing w:after="200" w:line="276" w:lineRule="auto"/>
        <w:ind w:left="720"/>
        <w:contextualSpacing/>
        <w:jc w:val="both"/>
        <w:rPr>
          <w:rFonts w:ascii="Arial" w:eastAsia="Calibri" w:hAnsi="Arial" w:cs="Arial"/>
          <w:sz w:val="24"/>
          <w:szCs w:val="24"/>
        </w:rPr>
      </w:pPr>
      <w:r>
        <w:rPr>
          <w:rFonts w:ascii="Arial" w:eastAsia="Calibri" w:hAnsi="Arial" w:cs="Arial"/>
          <w:sz w:val="24"/>
          <w:szCs w:val="24"/>
        </w:rPr>
        <w:t>Vendor</w:t>
      </w:r>
      <w:r w:rsidR="008A3CF9" w:rsidRPr="00B60837">
        <w:rPr>
          <w:rFonts w:ascii="Arial" w:eastAsia="Calibri" w:hAnsi="Arial" w:cs="Arial"/>
          <w:sz w:val="24"/>
          <w:szCs w:val="24"/>
        </w:rPr>
        <w:t xml:space="preserve"> covenants and agrees to comply with Visa’s Cardholder Information Security Program/CISP, MasterCard’s Security Data Program and SDP Rules, and with all other credit card association or National Automated Clearing House Association (NACHA) rules or rules of member organizations (generally “Association”), and further covenants and agrees to maintain compliance with the Payment Card Industry Data Security Standards (PCI DSS), MasterCard Site Data Protection (SDP), and (where applicable) the VISA Payment Application Best Practices (PABP) (collectively, the “Security Guidelines”).  </w:t>
      </w:r>
    </w:p>
    <w:p w14:paraId="4EF53C78" w14:textId="77777777" w:rsidR="00B60837" w:rsidRDefault="00B60837" w:rsidP="00C4273E">
      <w:pPr>
        <w:ind w:left="720"/>
        <w:jc w:val="both"/>
      </w:pPr>
    </w:p>
    <w:p w14:paraId="3B980B60" w14:textId="537AC349" w:rsidR="003E7692" w:rsidRPr="00013C52" w:rsidRDefault="00F677F5" w:rsidP="00C4273E">
      <w:pPr>
        <w:ind w:left="720"/>
        <w:jc w:val="both"/>
        <w:rPr>
          <w:rFonts w:ascii="Arial" w:hAnsi="Arial" w:cs="Arial"/>
          <w:sz w:val="24"/>
          <w:szCs w:val="24"/>
        </w:rPr>
      </w:pPr>
      <w:r>
        <w:rPr>
          <w:rFonts w:ascii="Arial" w:hAnsi="Arial" w:cs="Arial"/>
          <w:sz w:val="24"/>
          <w:szCs w:val="24"/>
        </w:rPr>
        <w:t>Vendor</w:t>
      </w:r>
      <w:r w:rsidR="008A3CF9" w:rsidRPr="00013C52">
        <w:rPr>
          <w:rFonts w:ascii="Arial" w:hAnsi="Arial" w:cs="Arial"/>
          <w:sz w:val="24"/>
          <w:szCs w:val="24"/>
        </w:rPr>
        <w:t xml:space="preserve"> </w:t>
      </w:r>
      <w:r>
        <w:rPr>
          <w:rFonts w:ascii="Arial" w:hAnsi="Arial" w:cs="Arial"/>
          <w:sz w:val="24"/>
          <w:szCs w:val="24"/>
        </w:rPr>
        <w:t>shall</w:t>
      </w:r>
      <w:r w:rsidR="008A3CF9" w:rsidRPr="00013C52">
        <w:rPr>
          <w:rFonts w:ascii="Arial" w:hAnsi="Arial" w:cs="Arial"/>
          <w:sz w:val="24"/>
          <w:szCs w:val="24"/>
        </w:rPr>
        <w:t xml:space="preserve"> provide documentation</w:t>
      </w:r>
      <w:r>
        <w:rPr>
          <w:rFonts w:ascii="Arial" w:hAnsi="Arial" w:cs="Arial"/>
          <w:sz w:val="24"/>
          <w:szCs w:val="24"/>
        </w:rPr>
        <w:t xml:space="preserve"> t</w:t>
      </w:r>
      <w:bookmarkStart w:id="0" w:name="_GoBack"/>
      <w:bookmarkEnd w:id="0"/>
      <w:r>
        <w:rPr>
          <w:rFonts w:ascii="Arial" w:hAnsi="Arial" w:cs="Arial"/>
          <w:sz w:val="24"/>
          <w:szCs w:val="24"/>
        </w:rPr>
        <w:t>o the City</w:t>
      </w:r>
      <w:r w:rsidR="008A3CF9" w:rsidRPr="00013C52">
        <w:rPr>
          <w:rFonts w:ascii="Arial" w:hAnsi="Arial" w:cs="Arial"/>
          <w:sz w:val="24"/>
          <w:szCs w:val="24"/>
        </w:rPr>
        <w:t xml:space="preserve"> on the following:</w:t>
      </w:r>
    </w:p>
    <w:p w14:paraId="52F92FCD" w14:textId="77777777" w:rsidR="003E7692" w:rsidRPr="00013C52" w:rsidRDefault="003E7692" w:rsidP="00C4273E">
      <w:pPr>
        <w:ind w:left="720"/>
        <w:jc w:val="both"/>
        <w:rPr>
          <w:rFonts w:ascii="Arial" w:hAnsi="Arial" w:cs="Arial"/>
          <w:sz w:val="24"/>
          <w:szCs w:val="24"/>
        </w:rPr>
      </w:pPr>
    </w:p>
    <w:p w14:paraId="3CABA1B7" w14:textId="18CF0F8A" w:rsidR="003E7692" w:rsidRPr="00013C52" w:rsidRDefault="00F677F5" w:rsidP="00C4273E">
      <w:pPr>
        <w:pStyle w:val="ListParagraph"/>
        <w:numPr>
          <w:ilvl w:val="0"/>
          <w:numId w:val="3"/>
        </w:numPr>
        <w:spacing w:after="0"/>
        <w:jc w:val="both"/>
        <w:rPr>
          <w:rFonts w:ascii="Arial" w:hAnsi="Arial" w:cs="Arial"/>
        </w:rPr>
      </w:pPr>
      <w:r w:rsidRPr="00013C52">
        <w:rPr>
          <w:rFonts w:ascii="Arial" w:hAnsi="Arial" w:cs="Arial"/>
        </w:rPr>
        <w:t xml:space="preserve">Level </w:t>
      </w:r>
      <w:r w:rsidR="0039159E" w:rsidRPr="00013C52">
        <w:rPr>
          <w:rFonts w:ascii="Arial" w:hAnsi="Arial" w:cs="Arial"/>
        </w:rPr>
        <w:t>1 or 2</w:t>
      </w:r>
      <w:r w:rsidRPr="00013C52">
        <w:rPr>
          <w:rFonts w:ascii="Arial" w:hAnsi="Arial" w:cs="Arial"/>
        </w:rPr>
        <w:t xml:space="preserve"> Compliant: </w:t>
      </w:r>
      <w:r w:rsidR="006C5268">
        <w:rPr>
          <w:rFonts w:ascii="Arial" w:hAnsi="Arial" w:cs="Arial"/>
        </w:rPr>
        <w:t xml:space="preserve">Vendor shall prove the ability to be </w:t>
      </w:r>
      <w:r w:rsidRPr="00013C52">
        <w:rPr>
          <w:rFonts w:ascii="Arial" w:hAnsi="Arial" w:cs="Arial"/>
        </w:rPr>
        <w:t xml:space="preserve">PCI DSS Service Level </w:t>
      </w:r>
      <w:r w:rsidR="0039159E" w:rsidRPr="00013C52">
        <w:rPr>
          <w:rFonts w:ascii="Arial" w:hAnsi="Arial" w:cs="Arial"/>
        </w:rPr>
        <w:t xml:space="preserve">1 or </w:t>
      </w:r>
      <w:r w:rsidRPr="00013C52">
        <w:rPr>
          <w:rFonts w:ascii="Arial" w:hAnsi="Arial" w:cs="Arial"/>
        </w:rPr>
        <w:t>2 compliant</w:t>
      </w:r>
      <w:r w:rsidR="006C5268">
        <w:rPr>
          <w:rFonts w:ascii="Arial" w:hAnsi="Arial" w:cs="Arial"/>
        </w:rPr>
        <w:t>, and that Vendor</w:t>
      </w:r>
      <w:r w:rsidR="00DC213F">
        <w:rPr>
          <w:rFonts w:ascii="Arial" w:hAnsi="Arial" w:cs="Arial"/>
        </w:rPr>
        <w:t xml:space="preserve"> </w:t>
      </w:r>
      <w:r w:rsidRPr="00013C52">
        <w:rPr>
          <w:rFonts w:ascii="Arial" w:hAnsi="Arial" w:cs="Arial"/>
        </w:rPr>
        <w:t>has proven the ability to not only process credit cards in large volume, but also maintain the highest level of security.</w:t>
      </w:r>
    </w:p>
    <w:p w14:paraId="1F67C5F2" w14:textId="77777777" w:rsidR="003E7692" w:rsidRPr="00013C52" w:rsidRDefault="003E7692" w:rsidP="00C4273E">
      <w:pPr>
        <w:pStyle w:val="ListParagraph"/>
        <w:ind w:left="1080"/>
        <w:jc w:val="both"/>
        <w:rPr>
          <w:rFonts w:ascii="Arial" w:hAnsi="Arial" w:cs="Arial"/>
        </w:rPr>
      </w:pPr>
    </w:p>
    <w:p w14:paraId="014EEC6F" w14:textId="5289642D" w:rsidR="003E7692" w:rsidRPr="006C5268" w:rsidRDefault="00F677F5" w:rsidP="00556B6E">
      <w:pPr>
        <w:pStyle w:val="ListParagraph"/>
        <w:numPr>
          <w:ilvl w:val="0"/>
          <w:numId w:val="3"/>
        </w:numPr>
        <w:spacing w:after="0"/>
        <w:jc w:val="both"/>
        <w:rPr>
          <w:rFonts w:ascii="Arial" w:hAnsi="Arial" w:cs="Arial"/>
        </w:rPr>
      </w:pPr>
      <w:r>
        <w:rPr>
          <w:rFonts w:ascii="Roboto" w:hAnsi="Roboto"/>
          <w:b/>
          <w:bCs/>
          <w:color w:val="202124"/>
          <w:shd w:val="clear" w:color="auto" w:fill="FFFFFF"/>
        </w:rPr>
        <w:t>Statement on Standards for Attestation Engagements (</w:t>
      </w:r>
      <w:r w:rsidRPr="006C5268">
        <w:rPr>
          <w:rFonts w:ascii="Arial" w:hAnsi="Arial" w:cs="Arial"/>
        </w:rPr>
        <w:t>SSAE</w:t>
      </w:r>
      <w:r>
        <w:rPr>
          <w:rFonts w:ascii="Arial" w:hAnsi="Arial" w:cs="Arial"/>
        </w:rPr>
        <w:t>)</w:t>
      </w:r>
      <w:r w:rsidRPr="006C5268">
        <w:rPr>
          <w:rFonts w:ascii="Arial" w:hAnsi="Arial" w:cs="Arial"/>
        </w:rPr>
        <w:t xml:space="preserve"> </w:t>
      </w:r>
      <w:r>
        <w:rPr>
          <w:rFonts w:ascii="Arial" w:hAnsi="Arial" w:cs="Arial"/>
        </w:rPr>
        <w:t xml:space="preserve">18 </w:t>
      </w:r>
      <w:r w:rsidR="008A3CF9" w:rsidRPr="006C5268">
        <w:rPr>
          <w:rFonts w:ascii="Arial" w:hAnsi="Arial" w:cs="Arial"/>
        </w:rPr>
        <w:t xml:space="preserve">Compliant: </w:t>
      </w:r>
      <w:r w:rsidR="006C5268" w:rsidRPr="006C5268">
        <w:rPr>
          <w:rFonts w:ascii="Arial" w:hAnsi="Arial" w:cs="Arial"/>
        </w:rPr>
        <w:t xml:space="preserve">Vendor shall prove they are </w:t>
      </w:r>
      <w:r w:rsidR="008A3CF9" w:rsidRPr="006C5268">
        <w:rPr>
          <w:rFonts w:ascii="Arial" w:hAnsi="Arial" w:cs="Arial"/>
        </w:rPr>
        <w:t>SSAE 1</w:t>
      </w:r>
      <w:r>
        <w:rPr>
          <w:rFonts w:ascii="Arial" w:hAnsi="Arial" w:cs="Arial"/>
        </w:rPr>
        <w:t>8</w:t>
      </w:r>
      <w:r w:rsidR="008A3CF9" w:rsidRPr="006C5268">
        <w:rPr>
          <w:rFonts w:ascii="Arial" w:hAnsi="Arial" w:cs="Arial"/>
        </w:rPr>
        <w:t xml:space="preserve"> compliant</w:t>
      </w:r>
      <w:r w:rsidR="006C5268">
        <w:rPr>
          <w:rFonts w:ascii="Arial" w:hAnsi="Arial" w:cs="Arial"/>
        </w:rPr>
        <w:t xml:space="preserve">. </w:t>
      </w:r>
    </w:p>
    <w:p w14:paraId="4BD1134C" w14:textId="11CFBA4E" w:rsidR="003E7692" w:rsidRPr="00013C52" w:rsidRDefault="00F677F5" w:rsidP="00C4273E">
      <w:pPr>
        <w:pStyle w:val="ListParagraph"/>
        <w:numPr>
          <w:ilvl w:val="0"/>
          <w:numId w:val="3"/>
        </w:numPr>
        <w:spacing w:after="0"/>
        <w:jc w:val="both"/>
        <w:rPr>
          <w:rFonts w:ascii="Arial" w:hAnsi="Arial" w:cs="Arial"/>
        </w:rPr>
      </w:pPr>
      <w:r w:rsidRPr="00013C52">
        <w:rPr>
          <w:rFonts w:ascii="Arial" w:hAnsi="Arial" w:cs="Arial"/>
        </w:rPr>
        <w:t>Cybersecurity Insurance Policy as listed in Insurance Section</w:t>
      </w:r>
      <w:r w:rsidR="006C5268">
        <w:rPr>
          <w:rFonts w:ascii="Arial" w:hAnsi="Arial" w:cs="Arial"/>
        </w:rPr>
        <w:t xml:space="preserve"> of the Agreement</w:t>
      </w:r>
      <w:r w:rsidRPr="00013C52">
        <w:rPr>
          <w:rFonts w:ascii="Arial" w:hAnsi="Arial" w:cs="Arial"/>
        </w:rPr>
        <w:t xml:space="preserve"> </w:t>
      </w:r>
    </w:p>
    <w:p w14:paraId="2EDE348F" w14:textId="77777777" w:rsidR="003E7692" w:rsidRPr="00013C52" w:rsidRDefault="003E7692" w:rsidP="00C4273E">
      <w:pPr>
        <w:pStyle w:val="ListParagraph"/>
        <w:jc w:val="both"/>
        <w:rPr>
          <w:rFonts w:ascii="Arial" w:hAnsi="Arial" w:cs="Arial"/>
        </w:rPr>
      </w:pPr>
    </w:p>
    <w:p w14:paraId="46D92ECA" w14:textId="33EDB2A7" w:rsidR="00C15290" w:rsidRPr="00C15290" w:rsidRDefault="00F677F5" w:rsidP="00C4273E">
      <w:pPr>
        <w:pStyle w:val="ListParagraph"/>
        <w:numPr>
          <w:ilvl w:val="0"/>
          <w:numId w:val="3"/>
        </w:numPr>
        <w:spacing w:after="200" w:line="276" w:lineRule="auto"/>
        <w:jc w:val="both"/>
        <w:rPr>
          <w:rFonts w:ascii="Arial" w:eastAsia="Calibri" w:hAnsi="Arial" w:cs="Arial"/>
        </w:rPr>
      </w:pPr>
      <w:r w:rsidRPr="005F7657">
        <w:rPr>
          <w:rFonts w:ascii="Arial" w:hAnsi="Arial" w:cs="Arial"/>
        </w:rPr>
        <w:t xml:space="preserve">Within 10 days of execution of the contract, </w:t>
      </w:r>
      <w:r w:rsidR="00FA116E">
        <w:rPr>
          <w:rFonts w:ascii="Arial" w:hAnsi="Arial" w:cs="Arial"/>
        </w:rPr>
        <w:t>Vendor</w:t>
      </w:r>
      <w:r w:rsidRPr="005F7657">
        <w:rPr>
          <w:rFonts w:ascii="Arial" w:hAnsi="Arial" w:cs="Arial"/>
        </w:rPr>
        <w:t xml:space="preserve"> shall provide an Attestation of Compliance (AOC)</w:t>
      </w:r>
      <w:r w:rsidR="00C24DA4">
        <w:rPr>
          <w:rFonts w:ascii="Arial" w:hAnsi="Arial" w:cs="Arial"/>
        </w:rPr>
        <w:t xml:space="preserve">. </w:t>
      </w:r>
      <w:r w:rsidR="00E10A78" w:rsidRPr="005F7657">
        <w:rPr>
          <w:rFonts w:ascii="Arial" w:eastAsia="Calibri" w:hAnsi="Arial" w:cs="Arial"/>
        </w:rPr>
        <w:t>Vendor shall annually attest to their PCI</w:t>
      </w:r>
      <w:r w:rsidR="00FA116E">
        <w:rPr>
          <w:rFonts w:ascii="Arial" w:eastAsia="Calibri" w:hAnsi="Arial" w:cs="Arial"/>
        </w:rPr>
        <w:t xml:space="preserve"> DSS</w:t>
      </w:r>
      <w:r w:rsidR="00E10A78" w:rsidRPr="005F7657">
        <w:rPr>
          <w:rFonts w:ascii="Arial" w:eastAsia="Calibri" w:hAnsi="Arial" w:cs="Arial"/>
        </w:rPr>
        <w:t xml:space="preserve"> </w:t>
      </w:r>
      <w:r w:rsidR="00FA116E">
        <w:rPr>
          <w:rFonts w:ascii="Arial" w:eastAsia="Calibri" w:hAnsi="Arial" w:cs="Arial"/>
        </w:rPr>
        <w:t>s</w:t>
      </w:r>
      <w:r w:rsidR="00E10A78" w:rsidRPr="005F7657">
        <w:rPr>
          <w:rFonts w:ascii="Arial" w:eastAsia="Calibri" w:hAnsi="Arial" w:cs="Arial"/>
        </w:rPr>
        <w:t xml:space="preserve">ecurity compliance by providing the AOC on the anniversary date of this addendum each year or </w:t>
      </w:r>
      <w:r w:rsidR="00FA116E">
        <w:rPr>
          <w:rFonts w:ascii="Arial" w:eastAsia="Calibri" w:hAnsi="Arial" w:cs="Arial"/>
        </w:rPr>
        <w:t xml:space="preserve">on </w:t>
      </w:r>
      <w:r w:rsidR="00E10A78" w:rsidRPr="005F7657">
        <w:rPr>
          <w:rFonts w:ascii="Arial" w:eastAsia="Calibri" w:hAnsi="Arial" w:cs="Arial"/>
        </w:rPr>
        <w:t xml:space="preserve">the AOC renewal date.  </w:t>
      </w:r>
    </w:p>
    <w:p w14:paraId="68F36EB6" w14:textId="776100B0" w:rsidR="003E7692" w:rsidRPr="00013C52" w:rsidRDefault="003E7692" w:rsidP="00556B6E">
      <w:pPr>
        <w:pStyle w:val="ListParagraph"/>
        <w:spacing w:after="0"/>
        <w:ind w:left="1080"/>
        <w:jc w:val="both"/>
        <w:rPr>
          <w:rFonts w:ascii="Arial" w:hAnsi="Arial" w:cs="Arial"/>
        </w:rPr>
      </w:pPr>
    </w:p>
    <w:p w14:paraId="5DEB24F1" w14:textId="77777777" w:rsidR="003E7692" w:rsidRPr="00013C52" w:rsidRDefault="003E7692" w:rsidP="00C4273E">
      <w:pPr>
        <w:pStyle w:val="ListParagraph"/>
        <w:jc w:val="both"/>
        <w:rPr>
          <w:rFonts w:ascii="Arial" w:hAnsi="Arial" w:cs="Arial"/>
        </w:rPr>
      </w:pPr>
    </w:p>
    <w:p w14:paraId="20F50FD0" w14:textId="4B1FC512" w:rsidR="003E7692" w:rsidRPr="00013C52" w:rsidRDefault="00F677F5" w:rsidP="00C4273E">
      <w:pPr>
        <w:pStyle w:val="ListParagraph"/>
        <w:numPr>
          <w:ilvl w:val="0"/>
          <w:numId w:val="3"/>
        </w:numPr>
        <w:spacing w:after="0"/>
        <w:jc w:val="both"/>
        <w:rPr>
          <w:rFonts w:ascii="Arial" w:hAnsi="Arial" w:cs="Arial"/>
        </w:rPr>
      </w:pPr>
      <w:r>
        <w:rPr>
          <w:rFonts w:ascii="Arial" w:hAnsi="Arial" w:cs="Arial"/>
        </w:rPr>
        <w:lastRenderedPageBreak/>
        <w:t>Vendor</w:t>
      </w:r>
      <w:r w:rsidR="008A3CF9" w:rsidRPr="00013C52">
        <w:rPr>
          <w:rFonts w:ascii="Arial" w:hAnsi="Arial" w:cs="Arial"/>
        </w:rPr>
        <w:t xml:space="preserve"> shall provide a written acknowledgement of responsibilities for PCI controls.  The acknowledgement shall provide that </w:t>
      </w:r>
      <w:r w:rsidR="00961963">
        <w:rPr>
          <w:rFonts w:ascii="Arial" w:hAnsi="Arial" w:cs="Arial"/>
        </w:rPr>
        <w:t>Vendor</w:t>
      </w:r>
      <w:r w:rsidR="008A3CF9" w:rsidRPr="00013C52">
        <w:rPr>
          <w:rFonts w:ascii="Arial" w:hAnsi="Arial" w:cs="Arial"/>
        </w:rPr>
        <w:t xml:space="preserve"> will maintain, on an on-going basis, all applicable PCI DSS requirements to the extent </w:t>
      </w:r>
      <w:r w:rsidR="00961963">
        <w:rPr>
          <w:rFonts w:ascii="Arial" w:hAnsi="Arial" w:cs="Arial"/>
        </w:rPr>
        <w:t>Vendor</w:t>
      </w:r>
      <w:r w:rsidR="008A3CF9" w:rsidRPr="00013C52">
        <w:rPr>
          <w:rFonts w:ascii="Arial" w:hAnsi="Arial" w:cs="Arial"/>
        </w:rPr>
        <w:t xml:space="preserve"> handles, has access to, or otherwise stores, processes, or transmits </w:t>
      </w:r>
      <w:r w:rsidR="0086328B">
        <w:rPr>
          <w:rFonts w:ascii="Arial" w:hAnsi="Arial" w:cs="Arial"/>
        </w:rPr>
        <w:t xml:space="preserve">City </w:t>
      </w:r>
      <w:r w:rsidR="008A3CF9" w:rsidRPr="00013C52">
        <w:rPr>
          <w:rFonts w:ascii="Arial" w:hAnsi="Arial" w:cs="Arial"/>
        </w:rPr>
        <w:t>customers’ cardholder data or sensitive authentication data or manages the</w:t>
      </w:r>
      <w:r w:rsidR="00616599">
        <w:rPr>
          <w:rFonts w:ascii="Arial" w:hAnsi="Arial" w:cs="Arial"/>
        </w:rPr>
        <w:t xml:space="preserve"> City’s</w:t>
      </w:r>
      <w:r w:rsidR="008A3CF9" w:rsidRPr="00013C52">
        <w:rPr>
          <w:rFonts w:ascii="Arial" w:hAnsi="Arial" w:cs="Arial"/>
        </w:rPr>
        <w:t xml:space="preserve"> cardholder data environment on behalf of the </w:t>
      </w:r>
      <w:r w:rsidR="0014763F">
        <w:rPr>
          <w:rFonts w:ascii="Arial" w:hAnsi="Arial" w:cs="Arial"/>
        </w:rPr>
        <w:t>City</w:t>
      </w:r>
      <w:r w:rsidR="008A3CF9" w:rsidRPr="00013C52">
        <w:rPr>
          <w:rFonts w:ascii="Arial" w:hAnsi="Arial" w:cs="Arial"/>
        </w:rPr>
        <w:t xml:space="preserve">. </w:t>
      </w:r>
    </w:p>
    <w:p w14:paraId="746C655E" w14:textId="77777777" w:rsidR="003E7692" w:rsidRPr="00013C52" w:rsidRDefault="003E7692" w:rsidP="00C4273E">
      <w:pPr>
        <w:pStyle w:val="ListParagraph"/>
        <w:jc w:val="both"/>
        <w:rPr>
          <w:rFonts w:ascii="Arial" w:hAnsi="Arial" w:cs="Arial"/>
        </w:rPr>
      </w:pPr>
    </w:p>
    <w:p w14:paraId="7D79B9EF" w14:textId="1CD8204E" w:rsidR="003E7692" w:rsidRPr="00013C52" w:rsidRDefault="00F677F5" w:rsidP="00C4273E">
      <w:pPr>
        <w:pStyle w:val="ListParagraph"/>
        <w:numPr>
          <w:ilvl w:val="0"/>
          <w:numId w:val="3"/>
        </w:numPr>
        <w:spacing w:after="0"/>
        <w:jc w:val="both"/>
        <w:rPr>
          <w:rFonts w:ascii="Arial" w:hAnsi="Arial" w:cs="Arial"/>
        </w:rPr>
      </w:pPr>
      <w:r w:rsidRPr="00013C52">
        <w:rPr>
          <w:rFonts w:ascii="Arial" w:hAnsi="Arial" w:cs="Arial"/>
        </w:rPr>
        <w:t xml:space="preserve">Within 30 days of any new Payment Card Industry Data Security Standards (PCI DSS) requirements, as issued by the PCI Security Standards Council, </w:t>
      </w:r>
      <w:r w:rsidR="007B3A0C">
        <w:rPr>
          <w:rFonts w:ascii="Arial" w:hAnsi="Arial" w:cs="Arial"/>
        </w:rPr>
        <w:t>Vendor</w:t>
      </w:r>
      <w:r w:rsidRPr="00013C52">
        <w:rPr>
          <w:rFonts w:ascii="Arial" w:hAnsi="Arial" w:cs="Arial"/>
        </w:rPr>
        <w:t xml:space="preserve"> shall provide an updated written acknowledgement of responsibilities to include the new PCI DSS requirements. </w:t>
      </w:r>
    </w:p>
    <w:p w14:paraId="41DF1084" w14:textId="77777777" w:rsidR="003E7692" w:rsidRPr="00013C52" w:rsidRDefault="003E7692" w:rsidP="00C4273E">
      <w:pPr>
        <w:pStyle w:val="ListParagraph"/>
        <w:jc w:val="both"/>
        <w:rPr>
          <w:rFonts w:ascii="Arial" w:hAnsi="Arial" w:cs="Arial"/>
        </w:rPr>
      </w:pPr>
    </w:p>
    <w:p w14:paraId="25897A30" w14:textId="264D5CC6" w:rsidR="003E7692" w:rsidRPr="00013C52" w:rsidRDefault="00F677F5" w:rsidP="00C4273E">
      <w:pPr>
        <w:pStyle w:val="ListParagraph"/>
        <w:numPr>
          <w:ilvl w:val="0"/>
          <w:numId w:val="3"/>
        </w:numPr>
        <w:spacing w:after="0"/>
        <w:jc w:val="both"/>
        <w:rPr>
          <w:rFonts w:ascii="Arial" w:hAnsi="Arial" w:cs="Arial"/>
        </w:rPr>
      </w:pPr>
      <w:r w:rsidRPr="00013C52">
        <w:rPr>
          <w:rFonts w:ascii="Arial" w:hAnsi="Arial" w:cs="Arial"/>
        </w:rPr>
        <w:t xml:space="preserve">Within 30 days of contract execution, </w:t>
      </w:r>
      <w:r w:rsidR="007B3A0C">
        <w:rPr>
          <w:rFonts w:ascii="Arial" w:hAnsi="Arial" w:cs="Arial"/>
        </w:rPr>
        <w:t>Vendor</w:t>
      </w:r>
      <w:r w:rsidRPr="00013C52">
        <w:rPr>
          <w:rFonts w:ascii="Arial" w:hAnsi="Arial" w:cs="Arial"/>
        </w:rPr>
        <w:t xml:space="preserve"> shall provide a copy of the </w:t>
      </w:r>
      <w:r w:rsidR="007B3A0C">
        <w:rPr>
          <w:rFonts w:ascii="Arial" w:hAnsi="Arial" w:cs="Arial"/>
        </w:rPr>
        <w:t>Vendor</w:t>
      </w:r>
      <w:r w:rsidRPr="00013C52">
        <w:rPr>
          <w:rFonts w:ascii="Arial" w:hAnsi="Arial" w:cs="Arial"/>
        </w:rPr>
        <w:t>’s Incident Response Plan (“IRP”) that will be implemented in the event of system and/or data breach/compromise. The IRP must be tested and updated at least annually.  The IRP shall include but not be limited to:</w:t>
      </w:r>
    </w:p>
    <w:p w14:paraId="26213BEF" w14:textId="77777777" w:rsidR="003E7692" w:rsidRPr="00013C52" w:rsidRDefault="003E7692" w:rsidP="00C4273E">
      <w:pPr>
        <w:pStyle w:val="ListParagraph"/>
        <w:jc w:val="both"/>
        <w:rPr>
          <w:rFonts w:ascii="Arial" w:hAnsi="Arial" w:cs="Arial"/>
        </w:rPr>
      </w:pPr>
    </w:p>
    <w:p w14:paraId="64051803" w14:textId="7B942D00" w:rsidR="003E7692" w:rsidRPr="00013C52" w:rsidRDefault="00F677F5" w:rsidP="00C4273E">
      <w:pPr>
        <w:pStyle w:val="ListParagraph"/>
        <w:numPr>
          <w:ilvl w:val="1"/>
          <w:numId w:val="3"/>
        </w:numPr>
        <w:spacing w:after="0"/>
        <w:jc w:val="both"/>
        <w:rPr>
          <w:rFonts w:ascii="Arial" w:hAnsi="Arial" w:cs="Arial"/>
        </w:rPr>
      </w:pPr>
      <w:r w:rsidRPr="00013C52">
        <w:rPr>
          <w:rFonts w:ascii="Arial" w:hAnsi="Arial" w:cs="Arial"/>
        </w:rPr>
        <w:t xml:space="preserve">Roles, responsibilities, contact names and communication strategies in the event of a data breach/compromise, including notification to the </w:t>
      </w:r>
      <w:r w:rsidR="0086328B">
        <w:rPr>
          <w:rFonts w:ascii="Arial" w:hAnsi="Arial" w:cs="Arial"/>
        </w:rPr>
        <w:t xml:space="preserve">City </w:t>
      </w:r>
      <w:r w:rsidRPr="00013C52">
        <w:rPr>
          <w:rFonts w:ascii="Arial" w:hAnsi="Arial" w:cs="Arial"/>
        </w:rPr>
        <w:t>and the payment card brands (</w:t>
      </w:r>
      <w:r w:rsidR="00703441">
        <w:rPr>
          <w:rFonts w:ascii="Arial" w:hAnsi="Arial" w:cs="Arial"/>
        </w:rPr>
        <w:t xml:space="preserve">such as </w:t>
      </w:r>
      <w:r w:rsidRPr="00013C52">
        <w:rPr>
          <w:rFonts w:ascii="Arial" w:hAnsi="Arial" w:cs="Arial"/>
        </w:rPr>
        <w:t>Visa and MasterCard).</w:t>
      </w:r>
    </w:p>
    <w:p w14:paraId="32772347" w14:textId="77777777" w:rsidR="003E7692" w:rsidRPr="00013C52" w:rsidRDefault="003E7692" w:rsidP="00C4273E">
      <w:pPr>
        <w:pStyle w:val="ListParagraph"/>
        <w:ind w:left="1800"/>
        <w:jc w:val="both"/>
        <w:rPr>
          <w:rFonts w:ascii="Arial" w:hAnsi="Arial" w:cs="Arial"/>
        </w:rPr>
      </w:pPr>
    </w:p>
    <w:p w14:paraId="1F911BC2" w14:textId="77777777" w:rsidR="003E7692" w:rsidRPr="00013C52" w:rsidRDefault="00F677F5" w:rsidP="00C4273E">
      <w:pPr>
        <w:pStyle w:val="ListParagraph"/>
        <w:numPr>
          <w:ilvl w:val="1"/>
          <w:numId w:val="3"/>
        </w:numPr>
        <w:spacing w:after="0"/>
        <w:jc w:val="both"/>
        <w:rPr>
          <w:rFonts w:ascii="Arial" w:hAnsi="Arial" w:cs="Arial"/>
        </w:rPr>
      </w:pPr>
      <w:r w:rsidRPr="00013C52">
        <w:rPr>
          <w:rFonts w:ascii="Arial" w:hAnsi="Arial" w:cs="Arial"/>
        </w:rPr>
        <w:t>Specific incident response procedures.</w:t>
      </w:r>
    </w:p>
    <w:p w14:paraId="1CE2A776" w14:textId="77777777" w:rsidR="003E7692" w:rsidRPr="00013C52" w:rsidRDefault="003E7692" w:rsidP="00C4273E">
      <w:pPr>
        <w:pStyle w:val="ListParagraph"/>
        <w:jc w:val="both"/>
        <w:rPr>
          <w:rFonts w:ascii="Arial" w:hAnsi="Arial" w:cs="Arial"/>
        </w:rPr>
      </w:pPr>
    </w:p>
    <w:p w14:paraId="3E3F265F" w14:textId="77777777" w:rsidR="003E7692" w:rsidRPr="00013C52" w:rsidRDefault="00F677F5" w:rsidP="00C4273E">
      <w:pPr>
        <w:pStyle w:val="ListParagraph"/>
        <w:numPr>
          <w:ilvl w:val="1"/>
          <w:numId w:val="3"/>
        </w:numPr>
        <w:spacing w:after="0"/>
        <w:jc w:val="both"/>
        <w:rPr>
          <w:rFonts w:ascii="Arial" w:hAnsi="Arial" w:cs="Arial"/>
        </w:rPr>
      </w:pPr>
      <w:r w:rsidRPr="00013C52">
        <w:rPr>
          <w:rFonts w:ascii="Arial" w:hAnsi="Arial" w:cs="Arial"/>
        </w:rPr>
        <w:t>Business recovery and continuity procedures.</w:t>
      </w:r>
    </w:p>
    <w:p w14:paraId="17AFCF73" w14:textId="77777777" w:rsidR="003E7692" w:rsidRPr="00013C52" w:rsidRDefault="003E7692" w:rsidP="00C4273E">
      <w:pPr>
        <w:pStyle w:val="ListParagraph"/>
        <w:jc w:val="both"/>
        <w:rPr>
          <w:rFonts w:ascii="Arial" w:hAnsi="Arial" w:cs="Arial"/>
        </w:rPr>
      </w:pPr>
    </w:p>
    <w:p w14:paraId="4EB62673" w14:textId="77777777" w:rsidR="003E7692" w:rsidRPr="00013C52" w:rsidRDefault="00F677F5" w:rsidP="00C4273E">
      <w:pPr>
        <w:pStyle w:val="ListParagraph"/>
        <w:numPr>
          <w:ilvl w:val="1"/>
          <w:numId w:val="3"/>
        </w:numPr>
        <w:spacing w:after="0"/>
        <w:jc w:val="both"/>
        <w:rPr>
          <w:rFonts w:ascii="Arial" w:hAnsi="Arial" w:cs="Arial"/>
        </w:rPr>
      </w:pPr>
      <w:r w:rsidRPr="00013C52">
        <w:rPr>
          <w:rFonts w:ascii="Arial" w:hAnsi="Arial" w:cs="Arial"/>
        </w:rPr>
        <w:t>Data back-up processes.</w:t>
      </w:r>
    </w:p>
    <w:p w14:paraId="3CEDE20B" w14:textId="77777777" w:rsidR="003E7692" w:rsidRPr="00013C52" w:rsidRDefault="003E7692" w:rsidP="00C4273E">
      <w:pPr>
        <w:pStyle w:val="ListParagraph"/>
        <w:jc w:val="both"/>
        <w:rPr>
          <w:rFonts w:ascii="Arial" w:hAnsi="Arial" w:cs="Arial"/>
        </w:rPr>
      </w:pPr>
    </w:p>
    <w:p w14:paraId="0D0598CA" w14:textId="77777777" w:rsidR="003E7692" w:rsidRPr="00013C52" w:rsidRDefault="00F677F5" w:rsidP="00C4273E">
      <w:pPr>
        <w:pStyle w:val="ListParagraph"/>
        <w:numPr>
          <w:ilvl w:val="1"/>
          <w:numId w:val="3"/>
        </w:numPr>
        <w:spacing w:after="0"/>
        <w:jc w:val="both"/>
        <w:rPr>
          <w:rFonts w:ascii="Arial" w:hAnsi="Arial" w:cs="Arial"/>
        </w:rPr>
      </w:pPr>
      <w:r w:rsidRPr="00013C52">
        <w:rPr>
          <w:rFonts w:ascii="Arial" w:hAnsi="Arial" w:cs="Arial"/>
        </w:rPr>
        <w:t>Analysis of legal requirements for reporting compromises</w:t>
      </w:r>
    </w:p>
    <w:p w14:paraId="2AC33A3A" w14:textId="77777777" w:rsidR="003E7692" w:rsidRPr="00013C52" w:rsidRDefault="003E7692" w:rsidP="00C4273E">
      <w:pPr>
        <w:pStyle w:val="ListParagraph"/>
        <w:jc w:val="both"/>
        <w:rPr>
          <w:rFonts w:ascii="Arial" w:hAnsi="Arial" w:cs="Arial"/>
        </w:rPr>
      </w:pPr>
    </w:p>
    <w:p w14:paraId="1E9D896E" w14:textId="77777777" w:rsidR="003E7692" w:rsidRPr="00013C52" w:rsidRDefault="00F677F5" w:rsidP="00C4273E">
      <w:pPr>
        <w:pStyle w:val="ListParagraph"/>
        <w:numPr>
          <w:ilvl w:val="1"/>
          <w:numId w:val="3"/>
        </w:numPr>
        <w:spacing w:after="0"/>
        <w:jc w:val="both"/>
        <w:rPr>
          <w:rFonts w:ascii="Arial" w:hAnsi="Arial" w:cs="Arial"/>
        </w:rPr>
      </w:pPr>
      <w:r w:rsidRPr="00013C52">
        <w:rPr>
          <w:rFonts w:ascii="Arial" w:hAnsi="Arial" w:cs="Arial"/>
        </w:rPr>
        <w:t>Coverage and responses of all critical system components.</w:t>
      </w:r>
    </w:p>
    <w:p w14:paraId="1CAE09F2" w14:textId="77777777" w:rsidR="003E7692" w:rsidRPr="00013C52" w:rsidRDefault="003E7692" w:rsidP="00C4273E">
      <w:pPr>
        <w:pStyle w:val="ListParagraph"/>
        <w:jc w:val="both"/>
        <w:rPr>
          <w:rFonts w:ascii="Arial" w:hAnsi="Arial" w:cs="Arial"/>
        </w:rPr>
      </w:pPr>
    </w:p>
    <w:p w14:paraId="5BC0393E" w14:textId="3D0F399E" w:rsidR="003E7692" w:rsidRPr="00013C52" w:rsidRDefault="00F677F5" w:rsidP="00C4273E">
      <w:pPr>
        <w:pStyle w:val="ListParagraph"/>
        <w:numPr>
          <w:ilvl w:val="1"/>
          <w:numId w:val="3"/>
        </w:numPr>
        <w:spacing w:after="0"/>
        <w:jc w:val="both"/>
        <w:rPr>
          <w:rFonts w:ascii="Arial" w:hAnsi="Arial" w:cs="Arial"/>
        </w:rPr>
      </w:pPr>
      <w:r w:rsidRPr="00013C52">
        <w:rPr>
          <w:rFonts w:ascii="Arial" w:hAnsi="Arial" w:cs="Arial"/>
        </w:rPr>
        <w:t>Reference or inclusion of incident response procedures from the payment card brands (</w:t>
      </w:r>
      <w:r w:rsidR="00703441">
        <w:rPr>
          <w:rFonts w:ascii="Arial" w:hAnsi="Arial" w:cs="Arial"/>
        </w:rPr>
        <w:t xml:space="preserve">such as </w:t>
      </w:r>
      <w:r w:rsidRPr="00013C52">
        <w:rPr>
          <w:rFonts w:ascii="Arial" w:hAnsi="Arial" w:cs="Arial"/>
        </w:rPr>
        <w:t>Visa and MasterCard)</w:t>
      </w:r>
    </w:p>
    <w:p w14:paraId="7860DF6E" w14:textId="77777777" w:rsidR="003E7692" w:rsidRPr="00013C52" w:rsidRDefault="003E7692" w:rsidP="00C4273E">
      <w:pPr>
        <w:pStyle w:val="ListParagraph"/>
        <w:jc w:val="both"/>
        <w:rPr>
          <w:rFonts w:ascii="Arial" w:hAnsi="Arial" w:cs="Arial"/>
        </w:rPr>
      </w:pPr>
    </w:p>
    <w:p w14:paraId="37686BFC" w14:textId="17B72148" w:rsidR="003E7692" w:rsidRPr="00013C52" w:rsidRDefault="00F677F5" w:rsidP="00C4273E">
      <w:pPr>
        <w:pStyle w:val="ListParagraph"/>
        <w:numPr>
          <w:ilvl w:val="0"/>
          <w:numId w:val="3"/>
        </w:numPr>
        <w:spacing w:after="0"/>
        <w:jc w:val="both"/>
        <w:rPr>
          <w:rFonts w:ascii="Arial" w:hAnsi="Arial" w:cs="Arial"/>
        </w:rPr>
      </w:pPr>
      <w:r>
        <w:rPr>
          <w:rFonts w:ascii="Arial" w:hAnsi="Arial" w:cs="Arial"/>
        </w:rPr>
        <w:t>Vendor</w:t>
      </w:r>
      <w:r w:rsidR="008A3CF9" w:rsidRPr="00013C52">
        <w:rPr>
          <w:rFonts w:ascii="Arial" w:hAnsi="Arial" w:cs="Arial"/>
        </w:rPr>
        <w:t xml:space="preserve"> shall maintain an inventory of its system components, including, but not limited to: hardware, software, payment devices and locations which are part of its Cardholder Data Environment. </w:t>
      </w:r>
      <w:r>
        <w:rPr>
          <w:rFonts w:ascii="Arial" w:hAnsi="Arial" w:cs="Arial"/>
        </w:rPr>
        <w:t>Within 30 bu</w:t>
      </w:r>
      <w:r w:rsidR="00A4413D">
        <w:rPr>
          <w:rFonts w:ascii="Arial" w:hAnsi="Arial" w:cs="Arial"/>
        </w:rPr>
        <w:t>siness days, u</w:t>
      </w:r>
      <w:r w:rsidR="008A3CF9" w:rsidRPr="00013C52">
        <w:rPr>
          <w:rFonts w:ascii="Arial" w:hAnsi="Arial" w:cs="Arial"/>
        </w:rPr>
        <w:t xml:space="preserve">pon request by the </w:t>
      </w:r>
      <w:r w:rsidR="00BD0F0B">
        <w:rPr>
          <w:rFonts w:ascii="Arial" w:hAnsi="Arial" w:cs="Arial"/>
        </w:rPr>
        <w:t>City</w:t>
      </w:r>
      <w:r w:rsidR="008A3CF9" w:rsidRPr="00013C52">
        <w:rPr>
          <w:rFonts w:ascii="Arial" w:hAnsi="Arial" w:cs="Arial"/>
        </w:rPr>
        <w:t xml:space="preserve">, Provider shall provide inventory documentation for all its systems components. </w:t>
      </w:r>
    </w:p>
    <w:p w14:paraId="3C03611D" w14:textId="77777777" w:rsidR="003E7692" w:rsidRPr="00013C52" w:rsidRDefault="003E7692" w:rsidP="00C4273E">
      <w:pPr>
        <w:pStyle w:val="ListParagraph"/>
        <w:ind w:left="1080"/>
        <w:jc w:val="both"/>
        <w:rPr>
          <w:rFonts w:ascii="Arial" w:hAnsi="Arial" w:cs="Arial"/>
        </w:rPr>
      </w:pPr>
    </w:p>
    <w:p w14:paraId="68B162B6" w14:textId="4E5FF4E6" w:rsidR="003E7692" w:rsidRPr="00013C52" w:rsidRDefault="00F677F5" w:rsidP="00C4273E">
      <w:pPr>
        <w:pStyle w:val="ListParagraph"/>
        <w:numPr>
          <w:ilvl w:val="0"/>
          <w:numId w:val="3"/>
        </w:numPr>
        <w:spacing w:after="0"/>
        <w:jc w:val="both"/>
        <w:rPr>
          <w:rFonts w:ascii="Arial" w:hAnsi="Arial" w:cs="Arial"/>
        </w:rPr>
      </w:pPr>
      <w:r w:rsidRPr="00013C52">
        <w:rPr>
          <w:rFonts w:ascii="Arial" w:hAnsi="Arial" w:cs="Arial"/>
        </w:rPr>
        <w:t xml:space="preserve">The </w:t>
      </w:r>
      <w:r w:rsidR="0086328B">
        <w:rPr>
          <w:rFonts w:ascii="Arial" w:hAnsi="Arial" w:cs="Arial"/>
        </w:rPr>
        <w:t xml:space="preserve">City </w:t>
      </w:r>
      <w:r w:rsidRPr="00013C52">
        <w:rPr>
          <w:rFonts w:ascii="Arial" w:hAnsi="Arial" w:cs="Arial"/>
        </w:rPr>
        <w:t xml:space="preserve">will review and verify </w:t>
      </w:r>
      <w:r w:rsidR="00A4413D">
        <w:rPr>
          <w:rFonts w:ascii="Arial" w:hAnsi="Arial" w:cs="Arial"/>
        </w:rPr>
        <w:t>Vendor</w:t>
      </w:r>
      <w:r w:rsidRPr="00013C52">
        <w:rPr>
          <w:rFonts w:ascii="Arial" w:hAnsi="Arial" w:cs="Arial"/>
        </w:rPr>
        <w:t xml:space="preserve">’s written acknowledgment of responsibilities for PCI controls, as stated above, at least once a year. </w:t>
      </w:r>
      <w:r w:rsidR="00A4413D">
        <w:rPr>
          <w:rFonts w:ascii="Arial" w:hAnsi="Arial" w:cs="Arial"/>
        </w:rPr>
        <w:t xml:space="preserve"> Failure of the City to review and verify the written acknowledgment of </w:t>
      </w:r>
      <w:r w:rsidR="00DD7CC2">
        <w:rPr>
          <w:rFonts w:ascii="Arial" w:hAnsi="Arial" w:cs="Arial"/>
        </w:rPr>
        <w:t>responsibilities</w:t>
      </w:r>
      <w:r w:rsidR="00A4413D">
        <w:rPr>
          <w:rFonts w:ascii="Arial" w:hAnsi="Arial" w:cs="Arial"/>
        </w:rPr>
        <w:t xml:space="preserve"> for PCI controls shall not invalidate this Appendix, nor shall it relieve Vendor of their duties under this Appendix.  </w:t>
      </w:r>
    </w:p>
    <w:p w14:paraId="7824BD66" w14:textId="77777777" w:rsidR="003E7692" w:rsidRPr="00013C52" w:rsidRDefault="003E7692" w:rsidP="00C4273E">
      <w:pPr>
        <w:pStyle w:val="ListParagraph"/>
        <w:ind w:left="1080"/>
        <w:jc w:val="both"/>
        <w:rPr>
          <w:rFonts w:ascii="Arial" w:hAnsi="Arial" w:cs="Arial"/>
        </w:rPr>
      </w:pPr>
    </w:p>
    <w:p w14:paraId="3482F7BA" w14:textId="77777777" w:rsidR="003E7692" w:rsidRPr="00013C52" w:rsidRDefault="00F677F5" w:rsidP="00C4273E">
      <w:pPr>
        <w:widowControl/>
        <w:numPr>
          <w:ilvl w:val="0"/>
          <w:numId w:val="2"/>
        </w:numPr>
        <w:snapToGrid/>
        <w:jc w:val="both"/>
        <w:rPr>
          <w:rFonts w:ascii="Arial" w:hAnsi="Arial" w:cs="Arial"/>
          <w:sz w:val="24"/>
          <w:szCs w:val="24"/>
        </w:rPr>
      </w:pPr>
      <w:r w:rsidRPr="00013C52">
        <w:rPr>
          <w:rFonts w:ascii="Arial" w:hAnsi="Arial" w:cs="Arial"/>
          <w:b/>
          <w:sz w:val="24"/>
          <w:szCs w:val="24"/>
        </w:rPr>
        <w:lastRenderedPageBreak/>
        <w:t xml:space="preserve">Security Incident </w:t>
      </w:r>
    </w:p>
    <w:p w14:paraId="1F667636" w14:textId="52430B46" w:rsidR="003E7692" w:rsidRPr="00013C52" w:rsidRDefault="00F677F5" w:rsidP="00C4273E">
      <w:pPr>
        <w:ind w:left="720"/>
        <w:jc w:val="both"/>
        <w:rPr>
          <w:rFonts w:ascii="Arial" w:hAnsi="Arial" w:cs="Arial"/>
          <w:sz w:val="24"/>
          <w:szCs w:val="24"/>
        </w:rPr>
      </w:pPr>
      <w:r>
        <w:rPr>
          <w:rFonts w:ascii="Arial" w:hAnsi="Arial" w:cs="Arial"/>
          <w:sz w:val="24"/>
          <w:szCs w:val="24"/>
        </w:rPr>
        <w:t>Vendor</w:t>
      </w:r>
      <w:r w:rsidR="008A3CF9" w:rsidRPr="00013C52">
        <w:rPr>
          <w:rFonts w:ascii="Arial" w:hAnsi="Arial" w:cs="Arial"/>
          <w:sz w:val="24"/>
          <w:szCs w:val="24"/>
        </w:rPr>
        <w:t xml:space="preserve"> shall inform the </w:t>
      </w:r>
      <w:r>
        <w:rPr>
          <w:rFonts w:ascii="Arial" w:hAnsi="Arial" w:cs="Arial"/>
          <w:sz w:val="24"/>
          <w:szCs w:val="24"/>
        </w:rPr>
        <w:t>City</w:t>
      </w:r>
      <w:r w:rsidR="008A3CF9" w:rsidRPr="00013C52">
        <w:rPr>
          <w:rFonts w:ascii="Arial" w:hAnsi="Arial" w:cs="Arial"/>
          <w:sz w:val="24"/>
          <w:szCs w:val="24"/>
        </w:rPr>
        <w:t xml:space="preserve"> of any security incident or data breach.</w:t>
      </w:r>
    </w:p>
    <w:p w14:paraId="38D1AEB7" w14:textId="77777777" w:rsidR="003E7692" w:rsidRPr="00013C52" w:rsidRDefault="003E7692" w:rsidP="00C4273E">
      <w:pPr>
        <w:ind w:left="720"/>
        <w:jc w:val="both"/>
        <w:rPr>
          <w:rFonts w:ascii="Arial" w:hAnsi="Arial" w:cs="Arial"/>
          <w:sz w:val="24"/>
          <w:szCs w:val="24"/>
        </w:rPr>
      </w:pPr>
    </w:p>
    <w:p w14:paraId="5F2865B1" w14:textId="027D69DC" w:rsidR="003E7692" w:rsidRPr="00013C52" w:rsidRDefault="00F677F5" w:rsidP="00C4273E">
      <w:pPr>
        <w:pStyle w:val="ListParagraph"/>
        <w:numPr>
          <w:ilvl w:val="0"/>
          <w:numId w:val="4"/>
        </w:numPr>
        <w:spacing w:after="0"/>
        <w:jc w:val="both"/>
        <w:rPr>
          <w:rFonts w:ascii="Arial" w:hAnsi="Arial" w:cs="Arial"/>
        </w:rPr>
      </w:pPr>
      <w:r w:rsidRPr="00013C52">
        <w:rPr>
          <w:rFonts w:ascii="Arial" w:hAnsi="Arial" w:cs="Arial"/>
        </w:rPr>
        <w:t xml:space="preserve">Incident Response: </w:t>
      </w:r>
      <w:r w:rsidR="0047323C">
        <w:rPr>
          <w:rFonts w:ascii="Arial" w:hAnsi="Arial" w:cs="Arial"/>
        </w:rPr>
        <w:t>Vendor</w:t>
      </w:r>
      <w:r w:rsidRPr="00013C52">
        <w:rPr>
          <w:rFonts w:ascii="Arial" w:hAnsi="Arial" w:cs="Arial"/>
        </w:rPr>
        <w:t xml:space="preserve"> may need to communicate with outside parties regarding a security incident, which may include contacting law enforcement, fielding media inquiries and seeking external expertise as mutually agreed upon, defined by law or contained in the contract.  Discussing security incidents which the </w:t>
      </w:r>
      <w:r w:rsidR="0047323C">
        <w:rPr>
          <w:rFonts w:ascii="Arial" w:hAnsi="Arial" w:cs="Arial"/>
        </w:rPr>
        <w:t>City</w:t>
      </w:r>
      <w:r w:rsidRPr="00013C52">
        <w:rPr>
          <w:rFonts w:ascii="Arial" w:hAnsi="Arial" w:cs="Arial"/>
        </w:rPr>
        <w:t xml:space="preserve"> should be handled on an urgent as-needed basis, as part of </w:t>
      </w:r>
      <w:r w:rsidR="00333CCF">
        <w:rPr>
          <w:rFonts w:ascii="Arial" w:hAnsi="Arial" w:cs="Arial"/>
        </w:rPr>
        <w:t>Vendor’s</w:t>
      </w:r>
      <w:r w:rsidRPr="00013C52">
        <w:rPr>
          <w:rFonts w:ascii="Arial" w:hAnsi="Arial" w:cs="Arial"/>
        </w:rPr>
        <w:t xml:space="preserve"> communication and mitigation processes as mutually agreed upon, defined by law or contained in the contract. </w:t>
      </w:r>
    </w:p>
    <w:p w14:paraId="2BD20E85" w14:textId="77777777" w:rsidR="003E7692" w:rsidRPr="00013C52" w:rsidRDefault="003E7692" w:rsidP="00C4273E">
      <w:pPr>
        <w:pStyle w:val="ListParagraph"/>
        <w:ind w:left="1080"/>
        <w:jc w:val="both"/>
        <w:rPr>
          <w:rFonts w:ascii="Arial" w:hAnsi="Arial" w:cs="Arial"/>
        </w:rPr>
      </w:pPr>
    </w:p>
    <w:p w14:paraId="3483C847" w14:textId="04E94838" w:rsidR="003E7692" w:rsidRPr="00013C52" w:rsidRDefault="00F677F5" w:rsidP="00C4273E">
      <w:pPr>
        <w:pStyle w:val="ListParagraph"/>
        <w:numPr>
          <w:ilvl w:val="0"/>
          <w:numId w:val="4"/>
        </w:numPr>
        <w:spacing w:after="0"/>
        <w:jc w:val="both"/>
        <w:rPr>
          <w:rFonts w:ascii="Arial" w:hAnsi="Arial" w:cs="Arial"/>
        </w:rPr>
      </w:pPr>
      <w:r w:rsidRPr="00013C52">
        <w:rPr>
          <w:rFonts w:ascii="Arial" w:hAnsi="Arial" w:cs="Arial"/>
        </w:rPr>
        <w:t xml:space="preserve">Security Incident Reporting Requirements: </w:t>
      </w:r>
      <w:r w:rsidR="00333CCF">
        <w:rPr>
          <w:rFonts w:ascii="Arial" w:hAnsi="Arial" w:cs="Arial"/>
        </w:rPr>
        <w:t>Vendor</w:t>
      </w:r>
      <w:r w:rsidRPr="00013C52">
        <w:rPr>
          <w:rFonts w:ascii="Arial" w:hAnsi="Arial" w:cs="Arial"/>
        </w:rPr>
        <w:t xml:space="preserve"> shall report a security incident to the appropriate </w:t>
      </w:r>
      <w:r w:rsidR="00333CCF">
        <w:rPr>
          <w:rFonts w:ascii="Arial" w:hAnsi="Arial" w:cs="Arial"/>
        </w:rPr>
        <w:t>City</w:t>
      </w:r>
      <w:r w:rsidRPr="00013C52">
        <w:rPr>
          <w:rFonts w:ascii="Arial" w:hAnsi="Arial" w:cs="Arial"/>
        </w:rPr>
        <w:t xml:space="preserve"> contact immediately as defined in the</w:t>
      </w:r>
      <w:r w:rsidR="00090037">
        <w:rPr>
          <w:rFonts w:ascii="Arial" w:hAnsi="Arial" w:cs="Arial"/>
        </w:rPr>
        <w:t xml:space="preserve"> Service Level Agreement (</w:t>
      </w:r>
      <w:r w:rsidRPr="00013C52">
        <w:rPr>
          <w:rFonts w:ascii="Arial" w:hAnsi="Arial" w:cs="Arial"/>
        </w:rPr>
        <w:t>SLA.</w:t>
      </w:r>
      <w:r w:rsidR="00090037">
        <w:rPr>
          <w:rFonts w:ascii="Arial" w:hAnsi="Arial" w:cs="Arial"/>
        </w:rPr>
        <w:t>)</w:t>
      </w:r>
      <w:r w:rsidRPr="00013C52">
        <w:rPr>
          <w:rFonts w:ascii="Arial" w:hAnsi="Arial" w:cs="Arial"/>
        </w:rPr>
        <w:t xml:space="preserve"> </w:t>
      </w:r>
    </w:p>
    <w:p w14:paraId="3EA71BF7" w14:textId="77777777" w:rsidR="003E7692" w:rsidRPr="00013C52" w:rsidRDefault="003E7692" w:rsidP="00C4273E">
      <w:pPr>
        <w:pStyle w:val="ListParagraph"/>
        <w:jc w:val="both"/>
        <w:rPr>
          <w:rFonts w:ascii="Arial" w:hAnsi="Arial" w:cs="Arial"/>
        </w:rPr>
      </w:pPr>
    </w:p>
    <w:p w14:paraId="1C1CA384" w14:textId="77777777" w:rsidR="004365BA" w:rsidRPr="00ED640F" w:rsidRDefault="00F677F5" w:rsidP="004365BA">
      <w:pPr>
        <w:pStyle w:val="ListParagraph"/>
        <w:numPr>
          <w:ilvl w:val="0"/>
          <w:numId w:val="4"/>
        </w:numPr>
        <w:spacing w:after="0"/>
        <w:jc w:val="both"/>
        <w:rPr>
          <w:rFonts w:ascii="Arial" w:hAnsi="Arial" w:cs="Arial"/>
        </w:rPr>
      </w:pPr>
      <w:r w:rsidRPr="00ED640F">
        <w:rPr>
          <w:rFonts w:ascii="Arial" w:hAnsi="Arial" w:cs="Arial"/>
        </w:rPr>
        <w:t>Within 3 business days after the initial incident report: Provide City with a written updated report that summarizes the results of the investigative action and corrective/remedial action taken.</w:t>
      </w:r>
    </w:p>
    <w:p w14:paraId="2FD98F73" w14:textId="77777777" w:rsidR="004365BA" w:rsidRDefault="004365BA" w:rsidP="00DD7CC2">
      <w:pPr>
        <w:pStyle w:val="ListParagraph"/>
        <w:spacing w:after="0"/>
        <w:ind w:left="1080"/>
        <w:jc w:val="both"/>
        <w:rPr>
          <w:rFonts w:ascii="Arial" w:hAnsi="Arial" w:cs="Arial"/>
        </w:rPr>
      </w:pPr>
    </w:p>
    <w:p w14:paraId="1A3C572D" w14:textId="77777777" w:rsidR="003E7692" w:rsidRPr="00013C52" w:rsidRDefault="003E7692" w:rsidP="00C4273E">
      <w:pPr>
        <w:pStyle w:val="ListParagraph"/>
        <w:ind w:left="1080"/>
        <w:jc w:val="both"/>
        <w:rPr>
          <w:rFonts w:ascii="Arial" w:hAnsi="Arial" w:cs="Arial"/>
        </w:rPr>
      </w:pPr>
    </w:p>
    <w:p w14:paraId="17E91D9C" w14:textId="77777777" w:rsidR="003E7692" w:rsidRPr="00013C52" w:rsidRDefault="00F677F5" w:rsidP="00C4273E">
      <w:pPr>
        <w:widowControl/>
        <w:numPr>
          <w:ilvl w:val="0"/>
          <w:numId w:val="2"/>
        </w:numPr>
        <w:snapToGrid/>
        <w:jc w:val="both"/>
        <w:rPr>
          <w:rFonts w:ascii="Arial" w:hAnsi="Arial" w:cs="Arial"/>
          <w:sz w:val="24"/>
          <w:szCs w:val="24"/>
        </w:rPr>
      </w:pPr>
      <w:r w:rsidRPr="00013C52">
        <w:rPr>
          <w:rFonts w:ascii="Arial" w:hAnsi="Arial" w:cs="Arial"/>
          <w:b/>
          <w:sz w:val="24"/>
          <w:szCs w:val="24"/>
        </w:rPr>
        <w:t xml:space="preserve">Breach Responsibilities  </w:t>
      </w:r>
    </w:p>
    <w:p w14:paraId="6521AF5A" w14:textId="6EE777A4" w:rsidR="003E7692" w:rsidRPr="00013C52" w:rsidRDefault="00F677F5" w:rsidP="00C4273E">
      <w:pPr>
        <w:ind w:left="720"/>
        <w:jc w:val="both"/>
        <w:rPr>
          <w:rFonts w:ascii="Arial" w:hAnsi="Arial" w:cs="Arial"/>
          <w:sz w:val="24"/>
          <w:szCs w:val="24"/>
        </w:rPr>
      </w:pPr>
      <w:r w:rsidRPr="00013C52">
        <w:rPr>
          <w:rFonts w:ascii="Arial" w:hAnsi="Arial" w:cs="Arial"/>
          <w:sz w:val="24"/>
          <w:szCs w:val="24"/>
        </w:rPr>
        <w:t xml:space="preserve">This section only applies when a data breach occurs with respect to personal data within the possession or control of the </w:t>
      </w:r>
      <w:r w:rsidR="00D47179">
        <w:rPr>
          <w:rFonts w:ascii="Arial" w:hAnsi="Arial" w:cs="Arial"/>
          <w:sz w:val="24"/>
          <w:szCs w:val="24"/>
        </w:rPr>
        <w:t xml:space="preserve">Vendor. </w:t>
      </w:r>
    </w:p>
    <w:p w14:paraId="58510D0D" w14:textId="77777777" w:rsidR="003E7692" w:rsidRPr="00013C52" w:rsidRDefault="003E7692" w:rsidP="00C4273E">
      <w:pPr>
        <w:ind w:left="720"/>
        <w:jc w:val="both"/>
        <w:rPr>
          <w:rFonts w:ascii="Arial" w:hAnsi="Arial" w:cs="Arial"/>
          <w:sz w:val="24"/>
          <w:szCs w:val="24"/>
        </w:rPr>
      </w:pPr>
    </w:p>
    <w:p w14:paraId="386E8124" w14:textId="39545D98" w:rsidR="003E7692" w:rsidRPr="00013C52" w:rsidRDefault="00F677F5" w:rsidP="00C4273E">
      <w:pPr>
        <w:pStyle w:val="ListParagraph"/>
        <w:numPr>
          <w:ilvl w:val="0"/>
          <w:numId w:val="5"/>
        </w:numPr>
        <w:spacing w:after="0"/>
        <w:jc w:val="both"/>
        <w:rPr>
          <w:rFonts w:ascii="Arial" w:hAnsi="Arial" w:cs="Arial"/>
        </w:rPr>
      </w:pPr>
      <w:r>
        <w:rPr>
          <w:rFonts w:ascii="Arial" w:hAnsi="Arial" w:cs="Arial"/>
        </w:rPr>
        <w:t>Vendor</w:t>
      </w:r>
      <w:r w:rsidR="008A3CF9" w:rsidRPr="00013C52">
        <w:rPr>
          <w:rFonts w:ascii="Arial" w:hAnsi="Arial" w:cs="Arial"/>
        </w:rPr>
        <w:t xml:space="preserve"> shall immediately notify the </w:t>
      </w:r>
      <w:r w:rsidR="00316181">
        <w:rPr>
          <w:rFonts w:ascii="Arial" w:hAnsi="Arial" w:cs="Arial"/>
        </w:rPr>
        <w:t xml:space="preserve">appropriate </w:t>
      </w:r>
      <w:r>
        <w:rPr>
          <w:rFonts w:ascii="Arial" w:hAnsi="Arial" w:cs="Arial"/>
        </w:rPr>
        <w:t>City</w:t>
      </w:r>
      <w:r w:rsidR="008A3CF9" w:rsidRPr="00013C52">
        <w:rPr>
          <w:rFonts w:ascii="Arial" w:hAnsi="Arial" w:cs="Arial"/>
        </w:rPr>
        <w:t xml:space="preserve"> contact </w:t>
      </w:r>
      <w:r>
        <w:rPr>
          <w:rFonts w:ascii="Arial" w:hAnsi="Arial" w:cs="Arial"/>
        </w:rPr>
        <w:t xml:space="preserve">person </w:t>
      </w:r>
      <w:r w:rsidR="008A3CF9" w:rsidRPr="00013C52">
        <w:rPr>
          <w:rFonts w:ascii="Arial" w:hAnsi="Arial" w:cs="Arial"/>
        </w:rPr>
        <w:t xml:space="preserve">by telephone </w:t>
      </w:r>
      <w:r>
        <w:rPr>
          <w:rFonts w:ascii="Arial" w:hAnsi="Arial" w:cs="Arial"/>
        </w:rPr>
        <w:t xml:space="preserve">and email </w:t>
      </w:r>
      <w:r w:rsidR="008A3CF9" w:rsidRPr="00013C52">
        <w:rPr>
          <w:rFonts w:ascii="Arial" w:hAnsi="Arial" w:cs="Arial"/>
        </w:rPr>
        <w:t>in accordance with the agreed upon security plan or security procedures if it reasonably believes there has been a security incident.</w:t>
      </w:r>
    </w:p>
    <w:p w14:paraId="025D1E9E" w14:textId="77777777" w:rsidR="003E7692" w:rsidRPr="00013C52" w:rsidRDefault="00F677F5" w:rsidP="00C4273E">
      <w:pPr>
        <w:pStyle w:val="ListParagraph"/>
        <w:ind w:left="1080"/>
        <w:jc w:val="both"/>
        <w:rPr>
          <w:rFonts w:ascii="Arial" w:hAnsi="Arial" w:cs="Arial"/>
        </w:rPr>
      </w:pPr>
      <w:r w:rsidRPr="00013C52">
        <w:rPr>
          <w:rFonts w:ascii="Arial" w:hAnsi="Arial" w:cs="Arial"/>
        </w:rPr>
        <w:t xml:space="preserve"> </w:t>
      </w:r>
    </w:p>
    <w:p w14:paraId="514B2B55" w14:textId="776992A6" w:rsidR="003A18F3" w:rsidRDefault="00F677F5" w:rsidP="003A18F3">
      <w:pPr>
        <w:pStyle w:val="ListParagraph"/>
        <w:numPr>
          <w:ilvl w:val="0"/>
          <w:numId w:val="5"/>
        </w:numPr>
        <w:spacing w:after="0"/>
        <w:jc w:val="both"/>
        <w:rPr>
          <w:rFonts w:ascii="Arial" w:hAnsi="Arial" w:cs="Arial"/>
        </w:rPr>
      </w:pPr>
      <w:r>
        <w:rPr>
          <w:rFonts w:ascii="Arial" w:hAnsi="Arial" w:cs="Arial"/>
        </w:rPr>
        <w:t xml:space="preserve">Data </w:t>
      </w:r>
      <w:r w:rsidRPr="00013C52">
        <w:rPr>
          <w:rFonts w:ascii="Arial" w:hAnsi="Arial" w:cs="Arial"/>
        </w:rPr>
        <w:t xml:space="preserve">Breach Reporting Requirements: If </w:t>
      </w:r>
      <w:r>
        <w:rPr>
          <w:rFonts w:ascii="Arial" w:hAnsi="Arial" w:cs="Arial"/>
        </w:rPr>
        <w:t>Vendor</w:t>
      </w:r>
      <w:r w:rsidRPr="00013C52">
        <w:rPr>
          <w:rFonts w:ascii="Arial" w:hAnsi="Arial" w:cs="Arial"/>
        </w:rPr>
        <w:t xml:space="preserve"> has actual knowledge of a confirmed data breach </w:t>
      </w:r>
      <w:r>
        <w:rPr>
          <w:rFonts w:ascii="Arial" w:hAnsi="Arial" w:cs="Arial"/>
        </w:rPr>
        <w:t>of the security of the system of the City, Vendor</w:t>
      </w:r>
      <w:r w:rsidRPr="00013C52">
        <w:rPr>
          <w:rFonts w:ascii="Arial" w:hAnsi="Arial" w:cs="Arial"/>
        </w:rPr>
        <w:t xml:space="preserve"> shall (1) promptly notify the </w:t>
      </w:r>
      <w:r>
        <w:rPr>
          <w:rFonts w:ascii="Arial" w:hAnsi="Arial" w:cs="Arial"/>
        </w:rPr>
        <w:t xml:space="preserve">City as soon as the breach is discovered by email and telephone but in no cases longer than </w:t>
      </w:r>
      <w:r w:rsidR="00A02022">
        <w:rPr>
          <w:rFonts w:ascii="Arial" w:hAnsi="Arial" w:cs="Arial"/>
        </w:rPr>
        <w:t>24</w:t>
      </w:r>
      <w:r>
        <w:rPr>
          <w:rFonts w:ascii="Arial" w:hAnsi="Arial" w:cs="Arial"/>
        </w:rPr>
        <w:t xml:space="preserve"> hours after discovering the breach.  Vendor shall </w:t>
      </w:r>
      <w:r w:rsidRPr="00013C52">
        <w:rPr>
          <w:rFonts w:ascii="Arial" w:hAnsi="Arial" w:cs="Arial"/>
        </w:rPr>
        <w:t xml:space="preserve">take reasonable measures to address the data breach </w:t>
      </w:r>
      <w:r>
        <w:rPr>
          <w:rFonts w:ascii="Arial" w:hAnsi="Arial" w:cs="Arial"/>
        </w:rPr>
        <w:t>immediately</w:t>
      </w:r>
      <w:r w:rsidRPr="00013C52">
        <w:rPr>
          <w:rFonts w:ascii="Arial" w:hAnsi="Arial" w:cs="Arial"/>
        </w:rPr>
        <w:t xml:space="preserve">. </w:t>
      </w:r>
      <w:r>
        <w:rPr>
          <w:rFonts w:ascii="Arial" w:hAnsi="Arial" w:cs="Arial"/>
        </w:rPr>
        <w:t xml:space="preserve"> “Breach of the security of the system” shall have the same meaning as the term is described in California Civil Code section 1798.29(f)</w:t>
      </w:r>
    </w:p>
    <w:p w14:paraId="6FAC6B22" w14:textId="77777777" w:rsidR="003A18F3" w:rsidRPr="00556B6E" w:rsidRDefault="003A18F3" w:rsidP="00556B6E">
      <w:pPr>
        <w:pStyle w:val="ListParagraph"/>
        <w:rPr>
          <w:rFonts w:ascii="Arial" w:hAnsi="Arial" w:cs="Arial"/>
        </w:rPr>
      </w:pPr>
    </w:p>
    <w:p w14:paraId="4BA0B77F" w14:textId="77777777" w:rsidR="003A18F3" w:rsidRPr="00013C52" w:rsidRDefault="003A18F3" w:rsidP="00556B6E">
      <w:pPr>
        <w:pStyle w:val="ListParagraph"/>
        <w:spacing w:after="0"/>
        <w:ind w:left="1080"/>
        <w:jc w:val="both"/>
        <w:rPr>
          <w:rFonts w:ascii="Arial" w:hAnsi="Arial" w:cs="Arial"/>
        </w:rPr>
      </w:pPr>
    </w:p>
    <w:p w14:paraId="496C5363" w14:textId="330146D4" w:rsidR="003E7692" w:rsidRPr="00013C52" w:rsidRDefault="00F677F5" w:rsidP="00C41226">
      <w:pPr>
        <w:pStyle w:val="ListParagraph"/>
        <w:numPr>
          <w:ilvl w:val="0"/>
          <w:numId w:val="5"/>
        </w:numPr>
        <w:spacing w:after="0"/>
        <w:jc w:val="both"/>
        <w:rPr>
          <w:rFonts w:ascii="Arial" w:hAnsi="Arial" w:cs="Arial"/>
        </w:rPr>
      </w:pPr>
      <w:r>
        <w:rPr>
          <w:rFonts w:ascii="Arial" w:hAnsi="Arial" w:cs="Arial"/>
        </w:rPr>
        <w:t>Vendor</w:t>
      </w:r>
      <w:r w:rsidR="00316181">
        <w:rPr>
          <w:rFonts w:ascii="Arial" w:hAnsi="Arial" w:cs="Arial"/>
        </w:rPr>
        <w:t xml:space="preserve"> </w:t>
      </w:r>
      <w:r w:rsidR="008A3CF9" w:rsidRPr="00013C52">
        <w:rPr>
          <w:rFonts w:ascii="Arial" w:hAnsi="Arial" w:cs="Arial"/>
        </w:rPr>
        <w:t xml:space="preserve">shall promptly notify the appropriate </w:t>
      </w:r>
      <w:r w:rsidR="00211987">
        <w:rPr>
          <w:rFonts w:ascii="Arial" w:hAnsi="Arial" w:cs="Arial"/>
        </w:rPr>
        <w:t>City</w:t>
      </w:r>
      <w:r w:rsidR="008A3CF9" w:rsidRPr="00013C52">
        <w:rPr>
          <w:rFonts w:ascii="Arial" w:hAnsi="Arial" w:cs="Arial"/>
        </w:rPr>
        <w:t xml:space="preserve"> contact within 24 hours or sooner by telephone, unless shorter time is required by applicable law, if it confirms that there is, or reasonably believe that there has been a data breach.  </w:t>
      </w:r>
      <w:r w:rsidR="00211987">
        <w:rPr>
          <w:rFonts w:ascii="Arial" w:hAnsi="Arial" w:cs="Arial"/>
        </w:rPr>
        <w:t>Vendor s</w:t>
      </w:r>
      <w:r w:rsidR="008A3CF9" w:rsidRPr="00013C52">
        <w:rPr>
          <w:rFonts w:ascii="Arial" w:hAnsi="Arial" w:cs="Arial"/>
        </w:rPr>
        <w:t xml:space="preserve">hall (1) cooperate with the </w:t>
      </w:r>
      <w:r w:rsidR="00211987">
        <w:rPr>
          <w:rFonts w:ascii="Arial" w:hAnsi="Arial" w:cs="Arial"/>
        </w:rPr>
        <w:t>City</w:t>
      </w:r>
      <w:r w:rsidR="008A3CF9" w:rsidRPr="00013C52">
        <w:rPr>
          <w:rFonts w:ascii="Arial" w:hAnsi="Arial" w:cs="Arial"/>
        </w:rPr>
        <w:t xml:space="preserve"> as reasonably requested by the </w:t>
      </w:r>
      <w:r w:rsidR="00211987">
        <w:rPr>
          <w:rFonts w:ascii="Arial" w:hAnsi="Arial" w:cs="Arial"/>
        </w:rPr>
        <w:t>City</w:t>
      </w:r>
      <w:r w:rsidR="008A3CF9" w:rsidRPr="00013C52">
        <w:rPr>
          <w:rFonts w:ascii="Arial" w:hAnsi="Arial" w:cs="Arial"/>
        </w:rPr>
        <w:t xml:space="preserve"> to investigate and resolve the data breach, (2) promptly implement necessary remedial measures, if necessary, and (3) document responsive actions taken related to the data breach, including any post-incident review of events and actions taken to make changes in business practices in providing the services, if necessary. </w:t>
      </w:r>
    </w:p>
    <w:p w14:paraId="5BC7DB73" w14:textId="77777777" w:rsidR="003E7692" w:rsidRPr="00013C52" w:rsidRDefault="003E7692" w:rsidP="00C4273E">
      <w:pPr>
        <w:pStyle w:val="ListParagraph"/>
        <w:jc w:val="both"/>
        <w:rPr>
          <w:rFonts w:ascii="Arial" w:hAnsi="Arial" w:cs="Arial"/>
        </w:rPr>
      </w:pPr>
    </w:p>
    <w:p w14:paraId="1D3ABD7F" w14:textId="34692AD2" w:rsidR="003E7692" w:rsidRDefault="00F677F5" w:rsidP="00C4273E">
      <w:pPr>
        <w:pStyle w:val="ListParagraph"/>
        <w:numPr>
          <w:ilvl w:val="0"/>
          <w:numId w:val="5"/>
        </w:numPr>
        <w:spacing w:after="0"/>
        <w:jc w:val="both"/>
        <w:rPr>
          <w:rFonts w:ascii="Arial" w:hAnsi="Arial" w:cs="Arial"/>
        </w:rPr>
      </w:pPr>
      <w:r w:rsidRPr="00013C52">
        <w:rPr>
          <w:rFonts w:ascii="Arial" w:hAnsi="Arial" w:cs="Arial"/>
        </w:rPr>
        <w:t xml:space="preserve">Unless otherwise stipulated, if a data breach is a direct result of </w:t>
      </w:r>
      <w:r w:rsidR="00211987">
        <w:rPr>
          <w:rFonts w:ascii="Arial" w:hAnsi="Arial" w:cs="Arial"/>
        </w:rPr>
        <w:t>Vendor</w:t>
      </w:r>
      <w:r w:rsidRPr="00013C52">
        <w:rPr>
          <w:rFonts w:ascii="Arial" w:hAnsi="Arial" w:cs="Arial"/>
        </w:rPr>
        <w:t xml:space="preserve">’s breach of its contract obligation to encrypt personal data or otherwise prevent its release, </w:t>
      </w:r>
      <w:r w:rsidR="00211987">
        <w:rPr>
          <w:rFonts w:ascii="Arial" w:hAnsi="Arial" w:cs="Arial"/>
        </w:rPr>
        <w:t>Vendor</w:t>
      </w:r>
      <w:r w:rsidRPr="00013C52">
        <w:rPr>
          <w:rFonts w:ascii="Arial" w:hAnsi="Arial" w:cs="Arial"/>
        </w:rPr>
        <w:t xml:space="preserve"> shall bear the costs associated with (1) the investigation and resolution of the data breach (2) notification to individuals, regulators or </w:t>
      </w:r>
      <w:r w:rsidR="00556B6E">
        <w:rPr>
          <w:rFonts w:ascii="Arial" w:hAnsi="Arial" w:cs="Arial"/>
        </w:rPr>
        <w:t>o</w:t>
      </w:r>
      <w:r w:rsidRPr="00013C52">
        <w:rPr>
          <w:rFonts w:ascii="Arial" w:hAnsi="Arial" w:cs="Arial"/>
        </w:rPr>
        <w:t xml:space="preserve">thers </w:t>
      </w:r>
      <w:r w:rsidR="00211987">
        <w:rPr>
          <w:rFonts w:ascii="Arial" w:hAnsi="Arial" w:cs="Arial"/>
        </w:rPr>
        <w:t xml:space="preserve">as </w:t>
      </w:r>
      <w:r w:rsidRPr="00013C52">
        <w:rPr>
          <w:rFonts w:ascii="Arial" w:hAnsi="Arial" w:cs="Arial"/>
        </w:rPr>
        <w:t>required by state</w:t>
      </w:r>
      <w:r w:rsidR="00211987">
        <w:rPr>
          <w:rFonts w:ascii="Arial" w:hAnsi="Arial" w:cs="Arial"/>
        </w:rPr>
        <w:t xml:space="preserve"> or federal</w:t>
      </w:r>
      <w:r w:rsidRPr="00013C52">
        <w:rPr>
          <w:rFonts w:ascii="Arial" w:hAnsi="Arial" w:cs="Arial"/>
        </w:rPr>
        <w:t xml:space="preserve"> law; (3) a credit monitoring service </w:t>
      </w:r>
      <w:r w:rsidR="00211987">
        <w:rPr>
          <w:rFonts w:ascii="Arial" w:hAnsi="Arial" w:cs="Arial"/>
        </w:rPr>
        <w:t>a</w:t>
      </w:r>
      <w:r w:rsidR="00556B6E">
        <w:rPr>
          <w:rFonts w:ascii="Arial" w:hAnsi="Arial" w:cs="Arial"/>
        </w:rPr>
        <w:t xml:space="preserve">s </w:t>
      </w:r>
      <w:r w:rsidRPr="00013C52">
        <w:rPr>
          <w:rFonts w:ascii="Arial" w:hAnsi="Arial" w:cs="Arial"/>
        </w:rPr>
        <w:t xml:space="preserve">required by state or federal law; </w:t>
      </w:r>
      <w:r w:rsidR="00211987">
        <w:rPr>
          <w:rFonts w:ascii="Arial" w:hAnsi="Arial" w:cs="Arial"/>
        </w:rPr>
        <w:t xml:space="preserve">and </w:t>
      </w:r>
      <w:r w:rsidRPr="00013C52">
        <w:rPr>
          <w:rFonts w:ascii="Arial" w:hAnsi="Arial" w:cs="Arial"/>
        </w:rPr>
        <w:t xml:space="preserve">(4) a website or a toll-free number and call center for affected individuals </w:t>
      </w:r>
      <w:r w:rsidR="00211987">
        <w:rPr>
          <w:rFonts w:ascii="Arial" w:hAnsi="Arial" w:cs="Arial"/>
        </w:rPr>
        <w:t xml:space="preserve">as </w:t>
      </w:r>
      <w:r w:rsidRPr="00013C52">
        <w:rPr>
          <w:rFonts w:ascii="Arial" w:hAnsi="Arial" w:cs="Arial"/>
        </w:rPr>
        <w:t xml:space="preserve">required by state </w:t>
      </w:r>
      <w:r w:rsidR="00211987">
        <w:rPr>
          <w:rFonts w:ascii="Arial" w:hAnsi="Arial" w:cs="Arial"/>
        </w:rPr>
        <w:t xml:space="preserve">or federal </w:t>
      </w:r>
      <w:r w:rsidRPr="00013C52">
        <w:rPr>
          <w:rFonts w:ascii="Arial" w:hAnsi="Arial" w:cs="Arial"/>
        </w:rPr>
        <w:t xml:space="preserve">law; </w:t>
      </w:r>
    </w:p>
    <w:p w14:paraId="6A8743C7" w14:textId="77777777" w:rsidR="00622180" w:rsidRPr="00556B6E" w:rsidRDefault="00622180" w:rsidP="00556B6E">
      <w:pPr>
        <w:pStyle w:val="ListParagraph"/>
        <w:rPr>
          <w:rFonts w:ascii="Arial" w:hAnsi="Arial" w:cs="Arial"/>
        </w:rPr>
      </w:pPr>
    </w:p>
    <w:p w14:paraId="6926EDA5" w14:textId="74EAF7E5" w:rsidR="00622180" w:rsidRPr="00ED640F" w:rsidRDefault="00F677F5" w:rsidP="00622180">
      <w:pPr>
        <w:pStyle w:val="ListParagraph"/>
        <w:numPr>
          <w:ilvl w:val="0"/>
          <w:numId w:val="5"/>
        </w:numPr>
        <w:jc w:val="both"/>
        <w:rPr>
          <w:rFonts w:ascii="Arial" w:hAnsi="Arial" w:cs="Arial"/>
        </w:rPr>
      </w:pPr>
      <w:r w:rsidRPr="00ED640F">
        <w:rPr>
          <w:rFonts w:ascii="Arial" w:hAnsi="Arial" w:cs="Arial"/>
        </w:rPr>
        <w:t xml:space="preserve">Assistance in Litigation or Administrative Proceedings. </w:t>
      </w:r>
      <w:r>
        <w:rPr>
          <w:rFonts w:ascii="Arial" w:hAnsi="Arial" w:cs="Arial"/>
        </w:rPr>
        <w:t>Vendor</w:t>
      </w:r>
      <w:r w:rsidRPr="00ED640F">
        <w:rPr>
          <w:rFonts w:ascii="Arial" w:hAnsi="Arial" w:cs="Arial"/>
        </w:rPr>
        <w:t xml:space="preserve"> shall make itself, and any subcontractors, employees, or agents assisting </w:t>
      </w:r>
      <w:r>
        <w:rPr>
          <w:rFonts w:ascii="Arial" w:hAnsi="Arial" w:cs="Arial"/>
        </w:rPr>
        <w:t>Vendors</w:t>
      </w:r>
      <w:r w:rsidRPr="00ED640F">
        <w:rPr>
          <w:rFonts w:ascii="Arial" w:hAnsi="Arial" w:cs="Arial"/>
        </w:rPr>
        <w:t xml:space="preserve"> in the performance of its obligations under the Contract or Addendum, available to City of Fairfield, at no cost to City of Fairfield, to testify as witnesses, or otherwise, in the event of litigation or administrative proceedings being commenced against City of Fairfield, its directors, officers, or employees based upon a claimed violation of applicable privacy and security laws and regulations except where </w:t>
      </w:r>
      <w:r>
        <w:rPr>
          <w:rFonts w:ascii="Arial" w:hAnsi="Arial" w:cs="Arial"/>
        </w:rPr>
        <w:t>Vendor</w:t>
      </w:r>
      <w:r w:rsidRPr="00ED640F">
        <w:rPr>
          <w:rFonts w:ascii="Arial" w:hAnsi="Arial" w:cs="Arial"/>
        </w:rPr>
        <w:t xml:space="preserve"> or its subcontractor, employee or agent is a named adverse party.</w:t>
      </w:r>
    </w:p>
    <w:p w14:paraId="617F4502" w14:textId="77777777" w:rsidR="00622180" w:rsidRPr="00013C52" w:rsidRDefault="00622180" w:rsidP="00C41226">
      <w:pPr>
        <w:pStyle w:val="ListParagraph"/>
        <w:spacing w:after="0"/>
        <w:ind w:left="1080"/>
        <w:jc w:val="both"/>
        <w:rPr>
          <w:rFonts w:ascii="Arial" w:hAnsi="Arial" w:cs="Arial"/>
        </w:rPr>
      </w:pPr>
    </w:p>
    <w:p w14:paraId="497694A7" w14:textId="134248F4" w:rsidR="00DE2CFD" w:rsidRDefault="00DE2CFD" w:rsidP="001015D5">
      <w:pPr>
        <w:jc w:val="center"/>
        <w:rPr>
          <w:rFonts w:ascii="Arial" w:hAnsi="Arial" w:cs="Arial"/>
          <w:sz w:val="24"/>
          <w:szCs w:val="24"/>
        </w:rPr>
      </w:pPr>
    </w:p>
    <w:p w14:paraId="70F58597" w14:textId="1612E09A" w:rsidR="00C15290" w:rsidRDefault="00C15290" w:rsidP="001015D5">
      <w:pPr>
        <w:jc w:val="center"/>
        <w:rPr>
          <w:rFonts w:ascii="Arial" w:hAnsi="Arial" w:cs="Arial"/>
          <w:sz w:val="24"/>
          <w:szCs w:val="24"/>
        </w:rPr>
      </w:pPr>
    </w:p>
    <w:p w14:paraId="2D8A0CDF" w14:textId="77777777" w:rsidR="00C15290" w:rsidRPr="00013C52" w:rsidRDefault="00F677F5" w:rsidP="001015D5">
      <w:pPr>
        <w:widowControl/>
        <w:tabs>
          <w:tab w:val="left" w:pos="360"/>
          <w:tab w:val="left" w:pos="1080"/>
        </w:tabs>
        <w:spacing w:after="200"/>
        <w:jc w:val="center"/>
        <w:rPr>
          <w:rFonts w:ascii="Arial" w:eastAsiaTheme="minorHAnsi" w:hAnsi="Arial" w:cs="Arial"/>
          <w:b/>
          <w:sz w:val="24"/>
          <w:szCs w:val="24"/>
        </w:rPr>
      </w:pPr>
      <w:r w:rsidRPr="00013C52">
        <w:rPr>
          <w:rFonts w:ascii="Arial" w:hAnsi="Arial" w:cs="Arial"/>
          <w:b/>
          <w:sz w:val="24"/>
          <w:szCs w:val="24"/>
        </w:rPr>
        <w:t>PCI COMPLIANCE for THIRD PARTY SERVICE PROVIDER (TPSP)</w:t>
      </w:r>
    </w:p>
    <w:p w14:paraId="241C8295" w14:textId="77777777" w:rsidR="00C15290" w:rsidRPr="00013C52" w:rsidRDefault="00C15290" w:rsidP="001015D5">
      <w:pPr>
        <w:jc w:val="center"/>
        <w:rPr>
          <w:rFonts w:ascii="Arial" w:hAnsi="Arial" w:cs="Arial"/>
          <w:sz w:val="24"/>
          <w:szCs w:val="24"/>
        </w:rPr>
      </w:pPr>
    </w:p>
    <w:p w14:paraId="74CA511D" w14:textId="419C8B49" w:rsidR="00C15290" w:rsidRPr="00013C52" w:rsidRDefault="00F677F5" w:rsidP="001015D5">
      <w:pPr>
        <w:widowControl/>
        <w:tabs>
          <w:tab w:val="left" w:pos="360"/>
          <w:tab w:val="left" w:pos="1080"/>
        </w:tabs>
        <w:spacing w:after="200"/>
        <w:jc w:val="center"/>
        <w:rPr>
          <w:rFonts w:ascii="Arial" w:eastAsiaTheme="minorHAnsi" w:hAnsi="Arial" w:cs="Arial"/>
          <w:b/>
          <w:sz w:val="24"/>
          <w:szCs w:val="24"/>
        </w:rPr>
      </w:pPr>
      <w:r w:rsidRPr="00013C52">
        <w:rPr>
          <w:rFonts w:ascii="Arial" w:eastAsiaTheme="minorHAnsi" w:hAnsi="Arial" w:cs="Arial"/>
          <w:b/>
          <w:sz w:val="24"/>
          <w:szCs w:val="24"/>
        </w:rPr>
        <w:t>END OF APPENDIX</w:t>
      </w:r>
    </w:p>
    <w:p w14:paraId="6D3F3967" w14:textId="77777777" w:rsidR="00C15290" w:rsidRPr="00013C52" w:rsidRDefault="00C15290" w:rsidP="00C4273E">
      <w:pPr>
        <w:jc w:val="both"/>
        <w:rPr>
          <w:rFonts w:ascii="Arial" w:hAnsi="Arial" w:cs="Arial"/>
          <w:sz w:val="24"/>
          <w:szCs w:val="24"/>
        </w:rPr>
      </w:pPr>
    </w:p>
    <w:sectPr w:rsidR="00C15290" w:rsidRPr="00013C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76A92" w14:textId="77777777" w:rsidR="0049481F" w:rsidRDefault="0049481F" w:rsidP="0049481F">
      <w:r>
        <w:separator/>
      </w:r>
    </w:p>
  </w:endnote>
  <w:endnote w:type="continuationSeparator" w:id="0">
    <w:p w14:paraId="66816157" w14:textId="77777777" w:rsidR="0049481F" w:rsidRDefault="0049481F" w:rsidP="0049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1630983"/>
      <w:docPartObj>
        <w:docPartGallery w:val="Page Numbers (Bottom of Page)"/>
        <w:docPartUnique/>
      </w:docPartObj>
    </w:sdtPr>
    <w:sdtEndPr>
      <w:rPr>
        <w:noProof/>
      </w:rPr>
    </w:sdtEndPr>
    <w:sdtContent>
      <w:p w14:paraId="4E1A12AD" w14:textId="5A08D4D7" w:rsidR="0049481F" w:rsidRDefault="0049481F" w:rsidP="00B751D8">
        <w:pPr>
          <w:pStyle w:val="Footer"/>
          <w:ind w:firstLine="4320"/>
          <w:jc w:val="center"/>
        </w:pPr>
        <w:r>
          <w:fldChar w:fldCharType="begin"/>
        </w:r>
        <w:r>
          <w:instrText xml:space="preserve"> PAGE   \* MERGEFORMAT </w:instrText>
        </w:r>
        <w:r>
          <w:fldChar w:fldCharType="separate"/>
        </w:r>
        <w:r>
          <w:rPr>
            <w:noProof/>
          </w:rPr>
          <w:t>2</w:t>
        </w:r>
        <w:r>
          <w:rPr>
            <w:noProof/>
          </w:rPr>
          <w:fldChar w:fldCharType="end"/>
        </w:r>
        <w:r>
          <w:rPr>
            <w:noProof/>
          </w:rPr>
          <w:t xml:space="preserve">  </w:t>
        </w:r>
        <w:r w:rsidR="00D21938">
          <w:rPr>
            <w:noProof/>
          </w:rPr>
          <w:tab/>
        </w:r>
        <w:r w:rsidR="00D21938">
          <w:rPr>
            <w:noProof/>
          </w:rPr>
          <w:tab/>
        </w:r>
        <w:r w:rsidR="00D21938" w:rsidRPr="00B64DF7">
          <w:rPr>
            <w:rFonts w:ascii="Arial" w:hAnsi="Arial" w:cs="Arial"/>
            <w:sz w:val="16"/>
            <w:szCs w:val="16"/>
          </w:rPr>
          <w:t xml:space="preserve">Rev. </w:t>
        </w:r>
        <w:r w:rsidR="00D21938">
          <w:rPr>
            <w:rFonts w:ascii="Arial" w:hAnsi="Arial" w:cs="Arial"/>
            <w:sz w:val="16"/>
            <w:szCs w:val="16"/>
          </w:rPr>
          <w:t>10/26/2023</w:t>
        </w:r>
      </w:p>
    </w:sdtContent>
  </w:sdt>
  <w:p w14:paraId="10D98F3A" w14:textId="77777777" w:rsidR="0049481F" w:rsidRDefault="00494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94A4F" w14:textId="77777777" w:rsidR="0049481F" w:rsidRDefault="0049481F" w:rsidP="0049481F">
      <w:r>
        <w:separator/>
      </w:r>
    </w:p>
  </w:footnote>
  <w:footnote w:type="continuationSeparator" w:id="0">
    <w:p w14:paraId="1E65712A" w14:textId="77777777" w:rsidR="0049481F" w:rsidRDefault="0049481F" w:rsidP="00494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06F35"/>
    <w:multiLevelType w:val="hybridMultilevel"/>
    <w:tmpl w:val="BEC64F52"/>
    <w:lvl w:ilvl="0" w:tplc="E8FC8E18">
      <w:start w:val="1"/>
      <w:numFmt w:val="lowerRoman"/>
      <w:lvlText w:val="%1."/>
      <w:lvlJc w:val="right"/>
      <w:pPr>
        <w:ind w:left="1080" w:hanging="360"/>
      </w:pPr>
      <w:rPr>
        <w:rFonts w:hint="default"/>
      </w:rPr>
    </w:lvl>
    <w:lvl w:ilvl="1" w:tplc="ACAE1C30">
      <w:start w:val="1"/>
      <w:numFmt w:val="lowerRoman"/>
      <w:lvlText w:val="%2."/>
      <w:lvlJc w:val="right"/>
      <w:pPr>
        <w:ind w:left="1800" w:hanging="360"/>
      </w:pPr>
    </w:lvl>
    <w:lvl w:ilvl="2" w:tplc="B6567B66" w:tentative="1">
      <w:start w:val="1"/>
      <w:numFmt w:val="lowerRoman"/>
      <w:lvlText w:val="%3."/>
      <w:lvlJc w:val="right"/>
      <w:pPr>
        <w:ind w:left="2520" w:hanging="180"/>
      </w:pPr>
    </w:lvl>
    <w:lvl w:ilvl="3" w:tplc="6798B8E8" w:tentative="1">
      <w:start w:val="1"/>
      <w:numFmt w:val="decimal"/>
      <w:lvlText w:val="%4."/>
      <w:lvlJc w:val="left"/>
      <w:pPr>
        <w:ind w:left="3240" w:hanging="360"/>
      </w:pPr>
    </w:lvl>
    <w:lvl w:ilvl="4" w:tplc="34C496AE" w:tentative="1">
      <w:start w:val="1"/>
      <w:numFmt w:val="lowerLetter"/>
      <w:lvlText w:val="%5."/>
      <w:lvlJc w:val="left"/>
      <w:pPr>
        <w:ind w:left="3960" w:hanging="360"/>
      </w:pPr>
    </w:lvl>
    <w:lvl w:ilvl="5" w:tplc="26AAD246" w:tentative="1">
      <w:start w:val="1"/>
      <w:numFmt w:val="lowerRoman"/>
      <w:lvlText w:val="%6."/>
      <w:lvlJc w:val="right"/>
      <w:pPr>
        <w:ind w:left="4680" w:hanging="180"/>
      </w:pPr>
    </w:lvl>
    <w:lvl w:ilvl="6" w:tplc="6C14B43A" w:tentative="1">
      <w:start w:val="1"/>
      <w:numFmt w:val="decimal"/>
      <w:lvlText w:val="%7."/>
      <w:lvlJc w:val="left"/>
      <w:pPr>
        <w:ind w:left="5400" w:hanging="360"/>
      </w:pPr>
    </w:lvl>
    <w:lvl w:ilvl="7" w:tplc="C02A7DD0" w:tentative="1">
      <w:start w:val="1"/>
      <w:numFmt w:val="lowerLetter"/>
      <w:lvlText w:val="%8."/>
      <w:lvlJc w:val="left"/>
      <w:pPr>
        <w:ind w:left="6120" w:hanging="360"/>
      </w:pPr>
    </w:lvl>
    <w:lvl w:ilvl="8" w:tplc="3BAA6748" w:tentative="1">
      <w:start w:val="1"/>
      <w:numFmt w:val="lowerRoman"/>
      <w:lvlText w:val="%9."/>
      <w:lvlJc w:val="right"/>
      <w:pPr>
        <w:ind w:left="6840" w:hanging="180"/>
      </w:pPr>
    </w:lvl>
  </w:abstractNum>
  <w:abstractNum w:abstractNumId="1" w15:restartNumberingAfterBreak="0">
    <w:nsid w:val="5D45751D"/>
    <w:multiLevelType w:val="hybridMultilevel"/>
    <w:tmpl w:val="CC989430"/>
    <w:lvl w:ilvl="0" w:tplc="79A88D94">
      <w:start w:val="1"/>
      <w:numFmt w:val="lowerLetter"/>
      <w:lvlText w:val="%1)"/>
      <w:lvlJc w:val="left"/>
      <w:pPr>
        <w:ind w:left="1080" w:hanging="360"/>
      </w:pPr>
      <w:rPr>
        <w:rFonts w:hint="default"/>
      </w:rPr>
    </w:lvl>
    <w:lvl w:ilvl="1" w:tplc="C83C56E4">
      <w:start w:val="1"/>
      <w:numFmt w:val="lowerRoman"/>
      <w:lvlText w:val="%2."/>
      <w:lvlJc w:val="right"/>
      <w:pPr>
        <w:ind w:left="1800" w:hanging="360"/>
      </w:pPr>
    </w:lvl>
    <w:lvl w:ilvl="2" w:tplc="E96A4AFE" w:tentative="1">
      <w:start w:val="1"/>
      <w:numFmt w:val="lowerRoman"/>
      <w:lvlText w:val="%3."/>
      <w:lvlJc w:val="right"/>
      <w:pPr>
        <w:ind w:left="2520" w:hanging="180"/>
      </w:pPr>
    </w:lvl>
    <w:lvl w:ilvl="3" w:tplc="5B9E48AA" w:tentative="1">
      <w:start w:val="1"/>
      <w:numFmt w:val="decimal"/>
      <w:lvlText w:val="%4."/>
      <w:lvlJc w:val="left"/>
      <w:pPr>
        <w:ind w:left="3240" w:hanging="360"/>
      </w:pPr>
    </w:lvl>
    <w:lvl w:ilvl="4" w:tplc="F4561156" w:tentative="1">
      <w:start w:val="1"/>
      <w:numFmt w:val="lowerLetter"/>
      <w:lvlText w:val="%5."/>
      <w:lvlJc w:val="left"/>
      <w:pPr>
        <w:ind w:left="3960" w:hanging="360"/>
      </w:pPr>
    </w:lvl>
    <w:lvl w:ilvl="5" w:tplc="7D9C51C6" w:tentative="1">
      <w:start w:val="1"/>
      <w:numFmt w:val="lowerRoman"/>
      <w:lvlText w:val="%6."/>
      <w:lvlJc w:val="right"/>
      <w:pPr>
        <w:ind w:left="4680" w:hanging="180"/>
      </w:pPr>
    </w:lvl>
    <w:lvl w:ilvl="6" w:tplc="A1ACDFC2" w:tentative="1">
      <w:start w:val="1"/>
      <w:numFmt w:val="decimal"/>
      <w:lvlText w:val="%7."/>
      <w:lvlJc w:val="left"/>
      <w:pPr>
        <w:ind w:left="5400" w:hanging="360"/>
      </w:pPr>
    </w:lvl>
    <w:lvl w:ilvl="7" w:tplc="BD9201DE" w:tentative="1">
      <w:start w:val="1"/>
      <w:numFmt w:val="lowerLetter"/>
      <w:lvlText w:val="%8."/>
      <w:lvlJc w:val="left"/>
      <w:pPr>
        <w:ind w:left="6120" w:hanging="360"/>
      </w:pPr>
    </w:lvl>
    <w:lvl w:ilvl="8" w:tplc="089CB5A0" w:tentative="1">
      <w:start w:val="1"/>
      <w:numFmt w:val="lowerRoman"/>
      <w:lvlText w:val="%9."/>
      <w:lvlJc w:val="right"/>
      <w:pPr>
        <w:ind w:left="6840" w:hanging="180"/>
      </w:pPr>
    </w:lvl>
  </w:abstractNum>
  <w:abstractNum w:abstractNumId="2" w15:restartNumberingAfterBreak="0">
    <w:nsid w:val="6025437D"/>
    <w:multiLevelType w:val="hybridMultilevel"/>
    <w:tmpl w:val="737CE918"/>
    <w:lvl w:ilvl="0" w:tplc="A9162FBA">
      <w:start w:val="1"/>
      <w:numFmt w:val="decimal"/>
      <w:lvlText w:val="%1."/>
      <w:lvlJc w:val="left"/>
      <w:pPr>
        <w:ind w:left="1440" w:hanging="360"/>
      </w:pPr>
      <w:rPr>
        <w:rFonts w:hint="default"/>
      </w:rPr>
    </w:lvl>
    <w:lvl w:ilvl="1" w:tplc="3A58BC1A">
      <w:start w:val="1"/>
      <w:numFmt w:val="lowerLetter"/>
      <w:lvlText w:val="%2."/>
      <w:lvlJc w:val="left"/>
      <w:pPr>
        <w:ind w:left="1440" w:hanging="360"/>
      </w:pPr>
    </w:lvl>
    <w:lvl w:ilvl="2" w:tplc="A18AC81C">
      <w:start w:val="1"/>
      <w:numFmt w:val="lowerRoman"/>
      <w:lvlText w:val="%3."/>
      <w:lvlJc w:val="right"/>
      <w:pPr>
        <w:ind w:left="2160" w:hanging="180"/>
      </w:pPr>
    </w:lvl>
    <w:lvl w:ilvl="3" w:tplc="5246C814" w:tentative="1">
      <w:start w:val="1"/>
      <w:numFmt w:val="decimal"/>
      <w:lvlText w:val="%4."/>
      <w:lvlJc w:val="left"/>
      <w:pPr>
        <w:ind w:left="2880" w:hanging="360"/>
      </w:pPr>
    </w:lvl>
    <w:lvl w:ilvl="4" w:tplc="31F034D4" w:tentative="1">
      <w:start w:val="1"/>
      <w:numFmt w:val="lowerLetter"/>
      <w:lvlText w:val="%5."/>
      <w:lvlJc w:val="left"/>
      <w:pPr>
        <w:ind w:left="3600" w:hanging="360"/>
      </w:pPr>
    </w:lvl>
    <w:lvl w:ilvl="5" w:tplc="07242C48" w:tentative="1">
      <w:start w:val="1"/>
      <w:numFmt w:val="lowerRoman"/>
      <w:lvlText w:val="%6."/>
      <w:lvlJc w:val="right"/>
      <w:pPr>
        <w:ind w:left="4320" w:hanging="180"/>
      </w:pPr>
    </w:lvl>
    <w:lvl w:ilvl="6" w:tplc="4ED82450" w:tentative="1">
      <w:start w:val="1"/>
      <w:numFmt w:val="decimal"/>
      <w:lvlText w:val="%7."/>
      <w:lvlJc w:val="left"/>
      <w:pPr>
        <w:ind w:left="5040" w:hanging="360"/>
      </w:pPr>
    </w:lvl>
    <w:lvl w:ilvl="7" w:tplc="691A7B76" w:tentative="1">
      <w:start w:val="1"/>
      <w:numFmt w:val="lowerLetter"/>
      <w:lvlText w:val="%8."/>
      <w:lvlJc w:val="left"/>
      <w:pPr>
        <w:ind w:left="5760" w:hanging="360"/>
      </w:pPr>
    </w:lvl>
    <w:lvl w:ilvl="8" w:tplc="DBFC0FD4" w:tentative="1">
      <w:start w:val="1"/>
      <w:numFmt w:val="lowerRoman"/>
      <w:lvlText w:val="%9."/>
      <w:lvlJc w:val="right"/>
      <w:pPr>
        <w:ind w:left="6480" w:hanging="180"/>
      </w:pPr>
    </w:lvl>
  </w:abstractNum>
  <w:abstractNum w:abstractNumId="3" w15:restartNumberingAfterBreak="0">
    <w:nsid w:val="654A0786"/>
    <w:multiLevelType w:val="multilevel"/>
    <w:tmpl w:val="A0320E10"/>
    <w:lvl w:ilvl="0">
      <w:start w:val="1"/>
      <w:numFmt w:val="decimal"/>
      <w:lvlText w:val="%1."/>
      <w:lvlJc w:val="left"/>
      <w:pPr>
        <w:ind w:left="720" w:hanging="360"/>
      </w:pPr>
      <w:rPr>
        <w:b/>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EE1D73"/>
    <w:multiLevelType w:val="hybridMultilevel"/>
    <w:tmpl w:val="CC989430"/>
    <w:lvl w:ilvl="0" w:tplc="E304AB32">
      <w:start w:val="1"/>
      <w:numFmt w:val="lowerLetter"/>
      <w:lvlText w:val="%1)"/>
      <w:lvlJc w:val="left"/>
      <w:pPr>
        <w:ind w:left="1080" w:hanging="360"/>
      </w:pPr>
      <w:rPr>
        <w:rFonts w:hint="default"/>
      </w:rPr>
    </w:lvl>
    <w:lvl w:ilvl="1" w:tplc="1A462EA6">
      <w:start w:val="1"/>
      <w:numFmt w:val="lowerRoman"/>
      <w:lvlText w:val="%2."/>
      <w:lvlJc w:val="right"/>
      <w:pPr>
        <w:ind w:left="1800" w:hanging="360"/>
      </w:pPr>
    </w:lvl>
    <w:lvl w:ilvl="2" w:tplc="E634D5A4" w:tentative="1">
      <w:start w:val="1"/>
      <w:numFmt w:val="lowerRoman"/>
      <w:lvlText w:val="%3."/>
      <w:lvlJc w:val="right"/>
      <w:pPr>
        <w:ind w:left="2520" w:hanging="180"/>
      </w:pPr>
    </w:lvl>
    <w:lvl w:ilvl="3" w:tplc="7A3CADFC" w:tentative="1">
      <w:start w:val="1"/>
      <w:numFmt w:val="decimal"/>
      <w:lvlText w:val="%4."/>
      <w:lvlJc w:val="left"/>
      <w:pPr>
        <w:ind w:left="3240" w:hanging="360"/>
      </w:pPr>
    </w:lvl>
    <w:lvl w:ilvl="4" w:tplc="17C66188" w:tentative="1">
      <w:start w:val="1"/>
      <w:numFmt w:val="lowerLetter"/>
      <w:lvlText w:val="%5."/>
      <w:lvlJc w:val="left"/>
      <w:pPr>
        <w:ind w:left="3960" w:hanging="360"/>
      </w:pPr>
    </w:lvl>
    <w:lvl w:ilvl="5" w:tplc="3904BE38" w:tentative="1">
      <w:start w:val="1"/>
      <w:numFmt w:val="lowerRoman"/>
      <w:lvlText w:val="%6."/>
      <w:lvlJc w:val="right"/>
      <w:pPr>
        <w:ind w:left="4680" w:hanging="180"/>
      </w:pPr>
    </w:lvl>
    <w:lvl w:ilvl="6" w:tplc="012C6D7A" w:tentative="1">
      <w:start w:val="1"/>
      <w:numFmt w:val="decimal"/>
      <w:lvlText w:val="%7."/>
      <w:lvlJc w:val="left"/>
      <w:pPr>
        <w:ind w:left="5400" w:hanging="360"/>
      </w:pPr>
    </w:lvl>
    <w:lvl w:ilvl="7" w:tplc="7332B7E0" w:tentative="1">
      <w:start w:val="1"/>
      <w:numFmt w:val="lowerLetter"/>
      <w:lvlText w:val="%8."/>
      <w:lvlJc w:val="left"/>
      <w:pPr>
        <w:ind w:left="6120" w:hanging="360"/>
      </w:pPr>
    </w:lvl>
    <w:lvl w:ilvl="8" w:tplc="AE0A4F32" w:tentative="1">
      <w:start w:val="1"/>
      <w:numFmt w:val="lowerRoman"/>
      <w:lvlText w:val="%9."/>
      <w:lvlJc w:val="right"/>
      <w:pPr>
        <w:ind w:left="684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847"/>
    <w:rsid w:val="00013C52"/>
    <w:rsid w:val="00035764"/>
    <w:rsid w:val="00090037"/>
    <w:rsid w:val="000B1E4A"/>
    <w:rsid w:val="000D316A"/>
    <w:rsid w:val="00101339"/>
    <w:rsid w:val="001015D5"/>
    <w:rsid w:val="00105C99"/>
    <w:rsid w:val="00112B5A"/>
    <w:rsid w:val="00113668"/>
    <w:rsid w:val="0011571E"/>
    <w:rsid w:val="0014763F"/>
    <w:rsid w:val="001A281C"/>
    <w:rsid w:val="001E01CB"/>
    <w:rsid w:val="00211987"/>
    <w:rsid w:val="00216F1C"/>
    <w:rsid w:val="0026330D"/>
    <w:rsid w:val="00305408"/>
    <w:rsid w:val="00310F84"/>
    <w:rsid w:val="00316181"/>
    <w:rsid w:val="00333CCF"/>
    <w:rsid w:val="0039159E"/>
    <w:rsid w:val="00396255"/>
    <w:rsid w:val="003A18F3"/>
    <w:rsid w:val="003B3483"/>
    <w:rsid w:val="003E7692"/>
    <w:rsid w:val="003F38F7"/>
    <w:rsid w:val="00431D29"/>
    <w:rsid w:val="004365BA"/>
    <w:rsid w:val="0047323C"/>
    <w:rsid w:val="0049481F"/>
    <w:rsid w:val="005337E5"/>
    <w:rsid w:val="00556B6E"/>
    <w:rsid w:val="005C2F54"/>
    <w:rsid w:val="005E5C5A"/>
    <w:rsid w:val="005F2CDB"/>
    <w:rsid w:val="005F7657"/>
    <w:rsid w:val="006126F7"/>
    <w:rsid w:val="00616599"/>
    <w:rsid w:val="00622180"/>
    <w:rsid w:val="0067664C"/>
    <w:rsid w:val="006923F3"/>
    <w:rsid w:val="006C5268"/>
    <w:rsid w:val="006E1F5F"/>
    <w:rsid w:val="00703441"/>
    <w:rsid w:val="007B3A0C"/>
    <w:rsid w:val="0086328B"/>
    <w:rsid w:val="008A27C3"/>
    <w:rsid w:val="008A3CF9"/>
    <w:rsid w:val="008B100C"/>
    <w:rsid w:val="008C3323"/>
    <w:rsid w:val="0095257A"/>
    <w:rsid w:val="0095407C"/>
    <w:rsid w:val="00961963"/>
    <w:rsid w:val="00A02022"/>
    <w:rsid w:val="00A4413D"/>
    <w:rsid w:val="00A6771E"/>
    <w:rsid w:val="00AD4866"/>
    <w:rsid w:val="00B21D92"/>
    <w:rsid w:val="00B5252A"/>
    <w:rsid w:val="00B60837"/>
    <w:rsid w:val="00B751D8"/>
    <w:rsid w:val="00BD0F0B"/>
    <w:rsid w:val="00C15290"/>
    <w:rsid w:val="00C16847"/>
    <w:rsid w:val="00C24DA4"/>
    <w:rsid w:val="00C41226"/>
    <w:rsid w:val="00C4273E"/>
    <w:rsid w:val="00CC68CB"/>
    <w:rsid w:val="00CD0F40"/>
    <w:rsid w:val="00D21938"/>
    <w:rsid w:val="00D47179"/>
    <w:rsid w:val="00DC213F"/>
    <w:rsid w:val="00DD7CC2"/>
    <w:rsid w:val="00DE2CFD"/>
    <w:rsid w:val="00E10A78"/>
    <w:rsid w:val="00E317E4"/>
    <w:rsid w:val="00E92008"/>
    <w:rsid w:val="00ED640F"/>
    <w:rsid w:val="00F677F5"/>
    <w:rsid w:val="00FA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1E323B"/>
  <w15:chartTrackingRefBased/>
  <w15:docId w15:val="{3B14F31C-3FF5-44CE-B510-6A9ED4CF5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CFD"/>
    <w:pPr>
      <w:widowControl w:val="0"/>
      <w:snapToGri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E1F5F"/>
    <w:rPr>
      <w:b/>
      <w:bCs/>
    </w:rPr>
  </w:style>
  <w:style w:type="character" w:styleId="Hyperlink">
    <w:name w:val="Hyperlink"/>
    <w:basedOn w:val="DefaultParagraphFont"/>
    <w:uiPriority w:val="99"/>
    <w:semiHidden/>
    <w:unhideWhenUsed/>
    <w:rsid w:val="006E1F5F"/>
    <w:rPr>
      <w:color w:val="0000FF"/>
      <w:u w:val="single"/>
    </w:rPr>
  </w:style>
  <w:style w:type="character" w:styleId="CommentReference">
    <w:name w:val="annotation reference"/>
    <w:basedOn w:val="DefaultParagraphFont"/>
    <w:uiPriority w:val="99"/>
    <w:semiHidden/>
    <w:unhideWhenUsed/>
    <w:rsid w:val="000B1E4A"/>
    <w:rPr>
      <w:sz w:val="16"/>
      <w:szCs w:val="16"/>
    </w:rPr>
  </w:style>
  <w:style w:type="paragraph" w:styleId="CommentText">
    <w:name w:val="annotation text"/>
    <w:basedOn w:val="Normal"/>
    <w:link w:val="CommentTextChar"/>
    <w:uiPriority w:val="99"/>
    <w:unhideWhenUsed/>
    <w:rsid w:val="000B1E4A"/>
  </w:style>
  <w:style w:type="character" w:customStyle="1" w:styleId="CommentTextChar">
    <w:name w:val="Comment Text Char"/>
    <w:basedOn w:val="DefaultParagraphFont"/>
    <w:link w:val="CommentText"/>
    <w:uiPriority w:val="99"/>
    <w:rsid w:val="000B1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B1E4A"/>
    <w:rPr>
      <w:b/>
      <w:bCs/>
    </w:rPr>
  </w:style>
  <w:style w:type="character" w:customStyle="1" w:styleId="CommentSubjectChar">
    <w:name w:val="Comment Subject Char"/>
    <w:basedOn w:val="CommentTextChar"/>
    <w:link w:val="CommentSubject"/>
    <w:uiPriority w:val="99"/>
    <w:semiHidden/>
    <w:rsid w:val="000B1E4A"/>
    <w:rPr>
      <w:rFonts w:ascii="Times New Roman" w:eastAsia="Times New Roman" w:hAnsi="Times New Roman" w:cs="Times New Roman"/>
      <w:b/>
      <w:bCs/>
      <w:sz w:val="20"/>
      <w:szCs w:val="20"/>
    </w:rPr>
  </w:style>
  <w:style w:type="paragraph" w:styleId="ListParagraph">
    <w:name w:val="List Paragraph"/>
    <w:basedOn w:val="Normal"/>
    <w:uiPriority w:val="34"/>
    <w:qFormat/>
    <w:rsid w:val="003E7692"/>
    <w:pPr>
      <w:widowControl/>
      <w:snapToGrid/>
      <w:spacing w:after="240"/>
      <w:ind w:left="720"/>
      <w:contextualSpacing/>
    </w:pPr>
    <w:rPr>
      <w:sz w:val="24"/>
      <w:szCs w:val="24"/>
    </w:rPr>
  </w:style>
  <w:style w:type="paragraph" w:styleId="Revision">
    <w:name w:val="Revision"/>
    <w:hidden/>
    <w:uiPriority w:val="99"/>
    <w:semiHidden/>
    <w:rsid w:val="006C5268"/>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52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5268"/>
    <w:rPr>
      <w:rFonts w:ascii="Segoe UI" w:eastAsia="Times New Roman" w:hAnsi="Segoe UI" w:cs="Segoe UI"/>
      <w:sz w:val="18"/>
      <w:szCs w:val="18"/>
    </w:rPr>
  </w:style>
  <w:style w:type="paragraph" w:styleId="Header">
    <w:name w:val="header"/>
    <w:basedOn w:val="Normal"/>
    <w:link w:val="HeaderChar"/>
    <w:uiPriority w:val="99"/>
    <w:unhideWhenUsed/>
    <w:rsid w:val="0049481F"/>
    <w:pPr>
      <w:tabs>
        <w:tab w:val="center" w:pos="4680"/>
        <w:tab w:val="right" w:pos="9360"/>
      </w:tabs>
    </w:pPr>
  </w:style>
  <w:style w:type="character" w:customStyle="1" w:styleId="HeaderChar">
    <w:name w:val="Header Char"/>
    <w:basedOn w:val="DefaultParagraphFont"/>
    <w:link w:val="Header"/>
    <w:uiPriority w:val="99"/>
    <w:rsid w:val="0049481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9481F"/>
    <w:pPr>
      <w:tabs>
        <w:tab w:val="center" w:pos="4680"/>
        <w:tab w:val="right" w:pos="9360"/>
      </w:tabs>
    </w:pPr>
  </w:style>
  <w:style w:type="character" w:customStyle="1" w:styleId="FooterChar">
    <w:name w:val="Footer Char"/>
    <w:basedOn w:val="DefaultParagraphFont"/>
    <w:link w:val="Footer"/>
    <w:uiPriority w:val="99"/>
    <w:rsid w:val="0049481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awinsider.com/clause/pci-dss-compli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1212</Words>
  <Characters>6910</Characters>
  <Application>Microsoft Office Word</Application>
  <DocSecurity>0</DocSecurity>
  <Lines>57</Lines>
  <Paragraphs>16</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Company/>
  <LinksUpToDate>false</LinksUpToDate>
  <CharactersWithSpaces>8106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Chaudhary, Savita</dc:creator>
  <cp:lastModifiedBy>Uprety, Pratikshya</cp:lastModifiedBy>
  <cp:revision>4</cp:revision>
  <dcterms:created xsi:type="dcterms:W3CDTF">2023-10-30T22:34:00Z</dcterms:created>
  <dcterms:modified xsi:type="dcterms:W3CDTF">2023-10-30T22:52:00Z</dcterms:modified>
</cp:coreProperties>
</file>